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bCs/>
          <w:color w:val="8C6F1F"/>
          <w:spacing w:val="40"/>
          <w:sz w:val="20"/>
          <w:szCs w:val="20"/>
        </w:rPr>
        <w:t xml:space="preserve">M2M~INC.  |  MODEL 2 MESSAGE</w:t>
      </w:r>
    </w:p>
    <w:p>
      <w:pPr>
        <w:pBdr>
          <w:bottom w:val="single" w:color="0B1F3A" w:sz="18" w:space="6"/>
        </w:pBdr>
        <w:spacing w:after="60" w:before="40"/>
      </w:pPr>
      <w:r>
        <w:rPr>
          <w:rFonts w:ascii="Arial" w:cs="Arial" w:eastAsia="Arial" w:hAnsi="Arial"/>
        </w:rPr>
        <w:t xml:space="preserve"/>
      </w:r>
    </w:p>
    <w:p>
      <w:pPr>
        <w:spacing w:after="60" w:before="260"/>
      </w:pPr>
      <w:r>
        <w:rPr>
          <w:rFonts w:ascii="Arial" w:cs="Arial" w:eastAsia="Arial" w:hAnsi="Arial"/>
          <w:b/>
          <w:bCs/>
          <w:color w:val="0B1F3A"/>
          <w:sz w:val="52"/>
          <w:szCs w:val="52"/>
        </w:rPr>
        <w:t xml:space="preserve">MARKET POSITION BRIEF</w:t>
      </w:r>
    </w:p>
    <w:p>
      <w:pPr>
        <w:spacing w:after="40"/>
      </w:pPr>
      <w:r>
        <w:rPr>
          <w:rFonts w:ascii="Arial" w:cs="Arial" w:eastAsia="Arial" w:hAnsi="Arial"/>
          <w:i/>
          <w:iCs/>
          <w:color w:val="8C6F1F"/>
          <w:sz w:val="30"/>
          <w:szCs w:val="30"/>
        </w:rPr>
        <w:t xml:space="preserve">Where M2M Stands When the Ground Moves</w:t>
      </w:r>
    </w:p>
    <w:p>
      <w:pPr>
        <w:spacing w:after="0" w:before="60"/>
      </w:pPr>
      <w:r>
        <w:rPr>
          <w:rFonts w:ascii="Arial" w:cs="Arial" w:eastAsia="Arial" w:hAnsi="Arial"/>
          <w:color w:val="4A4A4A"/>
          <w:sz w:val="22"/>
          <w:szCs w:val="22"/>
        </w:rPr>
        <w:t xml:space="preserve">A positioning read on war, fuel, food, and the Fortune 100 / 500 / 1000 procurement realignment — and the lane M2M should own.</w:t>
      </w:r>
    </w:p>
    <w:p>
      <w:pPr>
        <w:spacing w:after="0" w:before="360"/>
      </w:pPr>
      <w:r>
        <w:rPr>
          <w:rFonts w:ascii="Arial" w:cs="Arial" w:eastAsia="Arial" w:hAnsi="Arial"/>
          <w:b/>
          <w:bCs/>
          <w:color w:val="0B1F3A"/>
          <w:sz w:val="21"/>
          <w:szCs w:val="21"/>
        </w:rPr>
        <w:t xml:space="preserve">Prepared for:  </w:t>
      </w:r>
      <w:r>
        <w:rPr>
          <w:rFonts w:ascii="Arial" w:cs="Arial" w:eastAsia="Arial" w:hAnsi="Arial"/>
          <w:color w:val="1A1A1A"/>
          <w:sz w:val="21"/>
          <w:szCs w:val="21"/>
        </w:rPr>
        <w:t xml:space="preserve">Dr. Kevin A. Smith, Hon. D.H.L. — Founder &amp; Chief Opportunity Officer</w:t>
      </w:r>
    </w:p>
    <w:p>
      <w:pPr>
        <w:spacing w:after="0"/>
      </w:pPr>
      <w:r>
        <w:rPr>
          <w:rFonts w:ascii="Arial" w:cs="Arial" w:eastAsia="Arial" w:hAnsi="Arial"/>
          <w:b/>
          <w:bCs/>
          <w:color w:val="0B1F3A"/>
          <w:sz w:val="21"/>
          <w:szCs w:val="21"/>
        </w:rPr>
        <w:t xml:space="preserve">Lanes:  </w:t>
      </w:r>
      <w:r>
        <w:rPr>
          <w:rFonts w:ascii="Arial" w:cs="Arial" w:eastAsia="Arial" w:hAnsi="Arial"/>
          <w:color w:val="1A1A1A"/>
          <w:sz w:val="21"/>
          <w:szCs w:val="21"/>
        </w:rPr>
        <w:t xml:space="preserve">PIVOT OS™  ·  BRIDGE OS™  ·  Human OS™</w:t>
      </w:r>
    </w:p>
    <w:p>
      <w:pPr>
        <w:spacing w:after="0"/>
      </w:pPr>
      <w:r>
        <w:rPr>
          <w:rFonts w:ascii="Arial" w:cs="Arial" w:eastAsia="Arial" w:hAnsi="Arial"/>
          <w:b/>
          <w:bCs/>
          <w:color w:val="0B1F3A"/>
          <w:sz w:val="21"/>
          <w:szCs w:val="21"/>
        </w:rPr>
        <w:t xml:space="preserve">Date:  </w:t>
      </w:r>
      <w:r>
        <w:rPr>
          <w:rFonts w:ascii="Arial" w:cs="Arial" w:eastAsia="Arial" w:hAnsi="Arial"/>
          <w:color w:val="1A1A1A"/>
          <w:sz w:val="21"/>
          <w:szCs w:val="21"/>
        </w:rPr>
        <w:t xml:space="preserve">June 16, 2026</w:t>
      </w:r>
    </w:p>
    <w:p>
      <w:pPr>
        <w:spacing w:after="0"/>
      </w:pPr>
      <w:r>
        <w:rPr>
          <w:rFonts w:ascii="Arial" w:cs="Arial" w:eastAsia="Arial" w:hAnsi="Arial"/>
          <w:b/>
          <w:bCs/>
          <w:color w:val="0B1F3A"/>
          <w:sz w:val="21"/>
          <w:szCs w:val="21"/>
        </w:rPr>
        <w:t xml:space="preserve">Classification:  </w:t>
      </w:r>
      <w:r>
        <w:rPr>
          <w:rFonts w:ascii="Arial" w:cs="Arial" w:eastAsia="Arial" w:hAnsi="Arial"/>
          <w:color w:val="1A1A1A"/>
          <w:sz w:val="21"/>
          <w:szCs w:val="21"/>
        </w:rPr>
        <w:t xml:space="preserve">Sovereign Architect — Strategy. External-ready on authorization.</w:t>
      </w:r>
    </w:p>
    <w:p>
      <w:pPr>
        <w:spacing w:after="4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2"/>
              <w:left w:val="single" w:color="B08D2D" w:sz="24"/>
              <w:bottom w:val="single" w:color="0B1F3A" w:sz="2"/>
              <w:right w:val="single" w:color="0B1F3A" w:sz="2"/>
            </w:tcBorders>
            <w:shd w:fill="0B1F3A" w:val="clear"/>
            <w:tcMar>
              <w:top w:type="dxa" w:w="160"/>
              <w:left w:type="dxa" w:w="220"/>
              <w:bottom w:type="dxa" w:w="160"/>
              <w:right w:type="dxa" w:w="220"/>
            </w:tcMar>
          </w:tcPr>
          <w:p>
            <w:pPr>
              <w:spacing w:after="0"/>
            </w:pPr>
            <w:r>
              <w:rPr>
                <w:rFonts w:ascii="Arial" w:cs="Arial" w:eastAsia="Arial" w:hAnsi="Arial"/>
                <w:i/>
                <w:iCs/>
                <w:color w:val="FFFFFF"/>
                <w:sz w:val="26"/>
                <w:szCs w:val="26"/>
              </w:rPr>
              <w:t xml:space="preserve">“Leadership today requires continuously updating your operating system.”</w:t>
            </w:r>
          </w:p>
          <w:p>
            <w:pPr>
              <w:spacing w:after="0" w:before="80"/>
            </w:pPr>
            <w:r>
              <w:rPr>
                <w:rFonts w:ascii="Arial" w:cs="Arial" w:eastAsia="Arial" w:hAnsi="Arial"/>
                <w:color w:val="F3ECD9"/>
                <w:sz w:val="18"/>
                <w:szCs w:val="18"/>
              </w:rPr>
              <w:t xml:space="preserve">Market context, mid-2026</w:t>
            </w:r>
          </w:p>
        </w:tc>
      </w:tr>
    </w:tbl>
    <w:p>
      <w:r>
        <w:br w:type="page"/>
      </w:r>
    </w:p>
    <w:p>
      <w:pPr>
        <w:spacing w:after="130" w:before="60"/>
      </w:pPr>
      <w:r>
        <w:rPr>
          <w:rFonts w:ascii="Arial" w:cs="Arial" w:eastAsia="Arial" w:hAnsi="Arial"/>
          <w:b/>
          <w:bCs/>
          <w:color w:val="0B1F3A"/>
          <w:sz w:val="30"/>
          <w:szCs w:val="30"/>
        </w:rPr>
        <w:t xml:space="preserve">The ground moved under everyone.</w:t>
      </w:r>
    </w:p>
    <w:p>
      <w:pPr>
        <w:spacing w:after="140" w:line="276"/>
        <w:jc w:val="left"/>
      </w:pPr>
      <w:r>
        <w:rPr>
          <w:rFonts w:ascii="Arial" w:cs="Arial" w:eastAsia="Arial" w:hAnsi="Arial"/>
          <w:b w:val="false"/>
          <w:bCs w:val="false"/>
          <w:i w:val="false"/>
          <w:iCs w:val="false"/>
          <w:color w:val="1A1A1A"/>
          <w:sz w:val="22"/>
          <w:szCs w:val="22"/>
        </w:rPr>
        <w:t xml:space="preserve">Living one shock away from trouble used to be a low-income story. It isn’t anymore — the squeeze now reaches the six-figure household and the corner office alike. The reason is structural: the economy stopped paying for what you already know and started paying for how fast you can relearn. That isn’t a budget problem or a hiring problem. It’s a literacy problem — and in this economy, literacy is survival.</w:t>
      </w:r>
    </w:p>
    <w:p>
      <w:pPr>
        <w:spacing w:after="140" w:line="276"/>
        <w:jc w:val="left"/>
      </w:pPr>
      <w:r>
        <w:rPr>
          <w:rFonts w:ascii="Arial" w:cs="Arial" w:eastAsia="Arial" w:hAnsi="Arial"/>
          <w:b w:val="false"/>
          <w:bCs w:val="false"/>
          <w:i w:val="false"/>
          <w:iCs w:val="false"/>
          <w:color w:val="1A1A1A"/>
          <w:sz w:val="22"/>
          <w:szCs w:val="22"/>
        </w:rPr>
        <w:t xml:space="preserve">For an organization, that literacy has a name. The operating system: how work flows, how people are deployed, how decisions get made. When the ground moves, the firms that endure aren’t the ones with the most tools or the biggest headcount. They’re the ones that can update the system while it’s still running.</w:t>
      </w:r>
    </w:p>
    <w:p>
      <w:pPr>
        <w:spacing w:after="140" w:line="276"/>
        <w:jc w:val="left"/>
      </w:pPr>
      <w:r>
        <w:rPr>
          <w:rFonts w:ascii="Arial" w:cs="Arial" w:eastAsia="Arial" w:hAnsi="Arial"/>
          <w:b w:val="false"/>
          <w:bCs w:val="false"/>
          <w:i w:val="false"/>
          <w:iCs w:val="false"/>
          <w:color w:val="1A1A1A"/>
          <w:sz w:val="22"/>
          <w:szCs w:val="22"/>
        </w:rPr>
        <w:t xml:space="preserve">That update is what this brief is about. Not an identity story — a capability one, carried by a certified veteran-owned partner whose credentials lower your risk while the work rebuilds how your organization performs.</w:t>
      </w:r>
    </w:p>
    <w:p>
      <w:pPr>
        <w:pBdr>
          <w:bottom w:val="single" w:color="B08D2D" w:sz="8" w:space="4"/>
        </w:pBdr>
        <w:spacing w:after="40" w:before="20"/>
      </w:pPr>
      <w:r>
        <w:t xml:space="preserve"/>
      </w:r>
    </w:p>
    <w:p>
      <w:pPr>
        <w:pStyle w:val="Heading1"/>
        <w:pBdr>
          <w:bottom w:val="single" w:color="B08D2D" w:sz="12" w:space="4"/>
        </w:pBdr>
        <w:spacing w:after="140" w:before="320"/>
      </w:pPr>
      <w:r>
        <w:rPr>
          <w:rFonts w:ascii="Arial" w:cs="Arial" w:eastAsia="Arial" w:hAnsi="Arial"/>
          <w:b/>
          <w:bCs/>
          <w:color w:val="0B1F3A"/>
        </w:rPr>
        <w:t xml:space="preserve">The One Recommendation</w:t>
      </w:r>
    </w:p>
    <w:p>
      <w:pPr>
        <w:spacing w:after="140" w:line="276"/>
        <w:jc w:val="left"/>
      </w:pPr>
      <w:r>
        <w:rPr>
          <w:rFonts w:ascii="Arial" w:cs="Arial" w:eastAsia="Arial" w:hAnsi="Arial"/>
          <w:b/>
          <w:bCs/>
          <w:i w:val="false"/>
          <w:iCs w:val="false"/>
          <w:color w:val="1A1A1A"/>
          <w:sz w:val="22"/>
          <w:szCs w:val="22"/>
        </w:rPr>
        <w:t xml:space="preserve">This brief makes a single call. </w:t>
      </w:r>
      <w:r>
        <w:rPr>
          <w:rFonts w:ascii="Arial" w:cs="Arial" w:eastAsia="Arial" w:hAnsi="Arial"/>
          <w:b w:val="false"/>
          <w:bCs w:val="false"/>
          <w:i w:val="false"/>
          <w:iCs w:val="false"/>
          <w:color w:val="1A1A1A"/>
          <w:sz w:val="22"/>
          <w:szCs w:val="22"/>
        </w:rPr>
        <w:t xml:space="preserve">M2M should lead with transformation capability and the operating-system thesis, and carry its veteran certification as a procurement de-risk asset — not as the headline. Two forces are reshaping the buying environment at the same time. The macro economy has destabilized on the back of war, fuel, and food. And the corporate diversity-procurement category that “triple-certified” messaging leans on has contracted and become politically exposed. Both shifts point the same direction.</w:t>
      </w:r>
    </w:p>
    <w:p>
      <w:pPr>
        <w:spacing w:after="140" w:line="276"/>
        <w:jc w:val="left"/>
      </w:pPr>
      <w:r>
        <w:rPr>
          <w:rFonts w:ascii="Arial" w:cs="Arial" w:eastAsia="Arial" w:hAnsi="Arial"/>
          <w:b w:val="false"/>
          <w:bCs w:val="false"/>
          <w:i w:val="false"/>
          <w:iCs w:val="false"/>
          <w:color w:val="1A1A1A"/>
          <w:sz w:val="22"/>
          <w:szCs w:val="22"/>
        </w:rPr>
        <w:t xml:space="preserve">The ground has not moved under </w:t>
      </w:r>
      <w:r>
        <w:rPr>
          <w:rFonts w:ascii="Arial" w:cs="Arial" w:eastAsia="Arial" w:hAnsi="Arial"/>
          <w:b/>
          <w:bCs/>
          <w:i w:val="false"/>
          <w:iCs w:val="false"/>
          <w:color w:val="1A1A1A"/>
          <w:sz w:val="22"/>
          <w:szCs w:val="22"/>
        </w:rPr>
        <w:t xml:space="preserve">veteran-owned status</w:t>
      </w:r>
      <w:r>
        <w:rPr>
          <w:rFonts w:ascii="Arial" w:cs="Arial" w:eastAsia="Arial" w:hAnsi="Arial"/>
          <w:b w:val="false"/>
          <w:bCs w:val="false"/>
          <w:i w:val="false"/>
          <w:iCs w:val="false"/>
          <w:color w:val="1A1A1A"/>
          <w:sz w:val="22"/>
          <w:szCs w:val="22"/>
        </w:rPr>
        <w:t xml:space="preserve">, which is statutorily protected and growing. It has not moved under the </w:t>
      </w:r>
      <w:r>
        <w:rPr>
          <w:rFonts w:ascii="Arial" w:cs="Arial" w:eastAsia="Arial" w:hAnsi="Arial"/>
          <w:b/>
          <w:bCs/>
          <w:i w:val="false"/>
          <w:iCs w:val="false"/>
          <w:color w:val="1A1A1A"/>
          <w:sz w:val="22"/>
          <w:szCs w:val="22"/>
        </w:rPr>
        <w:t xml:space="preserve">enterprise mandate to rebuild how organizations actually work</w:t>
      </w:r>
      <w:r>
        <w:rPr>
          <w:rFonts w:ascii="Arial" w:cs="Arial" w:eastAsia="Arial" w:hAnsi="Arial"/>
          <w:b w:val="false"/>
          <w:bCs w:val="false"/>
          <w:i w:val="false"/>
          <w:iCs w:val="false"/>
          <w:color w:val="1A1A1A"/>
          <w:sz w:val="22"/>
          <w:szCs w:val="22"/>
        </w:rPr>
        <w:t xml:space="preserve">, which is the largest discretionary spend in the market. M2M sits on the intersection of both. The repositioning below is how M2M converts that intersection into pipeline before competitors who are still selling “diversity” catch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2D" w:sz="2"/>
              <w:left w:val="single" w:color="8C6F1F" w:sz="18"/>
              <w:bottom w:val="single" w:color="B08D2D" w:sz="2"/>
              <w:right w:val="single" w:color="B08D2D" w:sz="2"/>
            </w:tcBorders>
            <w:shd w:fill="F3ECD9" w:val="clear"/>
            <w:tcMar>
              <w:top w:type="dxa" w:w="130"/>
              <w:left w:type="dxa" w:w="180"/>
              <w:bottom w:type="dxa" w:w="130"/>
              <w:right w:type="dxa" w:w="180"/>
            </w:tcMar>
          </w:tcPr>
          <w:p>
            <w:pPr>
              <w:spacing w:after="60"/>
            </w:pPr>
            <w:r>
              <w:rPr>
                <w:rFonts w:ascii="Arial" w:cs="Arial" w:eastAsia="Arial" w:hAnsi="Arial"/>
                <w:b/>
                <w:bCs/>
                <w:color w:val="0B1F3A"/>
                <w:spacing w:val="30"/>
                <w:sz w:val="20"/>
                <w:szCs w:val="20"/>
              </w:rPr>
              <w:t xml:space="preserve">DECISION ASK</w:t>
            </w:r>
          </w:p>
          <w:p>
            <w:pPr>
              <w:spacing w:after="0" w:line="264"/>
            </w:pPr>
            <w:r>
              <w:rPr>
                <w:rFonts w:ascii="Arial" w:cs="Arial" w:eastAsia="Arial" w:hAnsi="Arial"/>
                <w:color w:val="1A1A1A"/>
                <w:sz w:val="22"/>
                <w:szCs w:val="22"/>
              </w:rPr>
              <w:t xml:space="preserve">Authorize a positioning reorder across all M2M public materials: capability and the OS thesis first, certifications as the trust layer underneath. Approve the three named priority targets in Section 6 for first-wave outreach this quarter.</w:t>
            </w:r>
          </w:p>
        </w:tc>
      </w:tr>
    </w:tbl>
    <w:p>
      <w:pPr>
        <w:pStyle w:val="Heading1"/>
        <w:pBdr>
          <w:bottom w:val="single" w:color="B08D2D" w:sz="12" w:space="4"/>
        </w:pBdr>
        <w:spacing w:after="140" w:before="320"/>
      </w:pPr>
      <w:r>
        <w:rPr>
          <w:rFonts w:ascii="Arial" w:cs="Arial" w:eastAsia="Arial" w:hAnsi="Arial"/>
          <w:b/>
          <w:bCs/>
          <w:color w:val="0B1F3A"/>
        </w:rPr>
        <w:t xml:space="preserve">1.  The Ground Has Moved: War, Fuel, Food</w:t>
      </w:r>
    </w:p>
    <w:p>
      <w:pPr>
        <w:spacing w:after="140" w:line="276"/>
        <w:jc w:val="left"/>
      </w:pPr>
      <w:r>
        <w:rPr>
          <w:rFonts w:ascii="Arial" w:cs="Arial" w:eastAsia="Arial" w:hAnsi="Arial"/>
          <w:b w:val="false"/>
          <w:bCs w:val="false"/>
          <w:i w:val="false"/>
          <w:iCs w:val="false"/>
          <w:color w:val="1A1A1A"/>
          <w:sz w:val="22"/>
          <w:szCs w:val="22"/>
        </w:rPr>
        <w:t xml:space="preserve">Mid-2026 is defined by a single macro event. War in the Middle East has produced what the OECD calls an energy supply shock and what S&amp;P Global describes as the largest energy supply disruption on record. The mechanics matter because they set the mood of every C-suite M2M wants to enter.</w:t>
      </w:r>
    </w:p>
    <w:p>
      <w:pPr>
        <w:pStyle w:val="ListParagraph"/>
        <w:numPr>
          <w:ilvl w:val="0"/>
          <w:numId w:val="2"/>
        </w:numPr>
        <w:spacing w:after="90" w:line="270"/>
      </w:pPr>
      <w:r>
        <w:rPr>
          <w:rFonts w:ascii="Arial" w:cs="Arial" w:eastAsia="Arial" w:hAnsi="Arial"/>
          <w:b/>
          <w:bCs/>
          <w:i w:val="false"/>
          <w:iCs w:val="false"/>
          <w:color w:val="1A1A1A"/>
          <w:sz w:val="22"/>
          <w:szCs w:val="22"/>
        </w:rPr>
        <w:t xml:space="preserve">Fuel. </w:t>
      </w:r>
      <w:r>
        <w:rPr>
          <w:rFonts w:ascii="Arial" w:cs="Arial" w:eastAsia="Arial" w:hAnsi="Arial"/>
          <w:b w:val="false"/>
          <w:bCs w:val="false"/>
          <w:i w:val="false"/>
          <w:iCs w:val="false"/>
          <w:color w:val="1A1A1A"/>
          <w:sz w:val="22"/>
          <w:szCs w:val="22"/>
        </w:rPr>
        <w:t xml:space="preserve">The World Bank projects energy prices rising roughly 24% in 2026 to their highest level since Russia’s 2022 invasion of Ukraine, with overall commodity prices up about 16% (World Bank, Commodity Markets Outlook, April 2026).</w:t>
      </w:r>
    </w:p>
    <w:p>
      <w:pPr>
        <w:pStyle w:val="ListParagraph"/>
        <w:numPr>
          <w:ilvl w:val="0"/>
          <w:numId w:val="2"/>
        </w:numPr>
        <w:spacing w:after="90" w:line="270"/>
      </w:pPr>
      <w:r>
        <w:rPr>
          <w:rFonts w:ascii="Arial" w:cs="Arial" w:eastAsia="Arial" w:hAnsi="Arial"/>
          <w:b/>
          <w:bCs/>
          <w:i w:val="false"/>
          <w:iCs w:val="false"/>
          <w:color w:val="1A1A1A"/>
          <w:sz w:val="22"/>
          <w:szCs w:val="22"/>
        </w:rPr>
        <w:t xml:space="preserve">Food. </w:t>
      </w:r>
      <w:r>
        <w:rPr>
          <w:rFonts w:ascii="Arial" w:cs="Arial" w:eastAsia="Arial" w:hAnsi="Arial"/>
          <w:b w:val="false"/>
          <w:bCs w:val="false"/>
          <w:i w:val="false"/>
          <w:iCs w:val="false"/>
          <w:color w:val="1A1A1A"/>
          <w:sz w:val="22"/>
          <w:szCs w:val="22"/>
        </w:rPr>
        <w:t xml:space="preserve">The same shock is driving fertilizer prices sharply higher, which the European Commission flags as direct pressure on food affordability and a knock-on risk to industrial supply chains (EC Spring 2026 Forecast). Food cost is now a geopolitics story, not a grocery story.</w:t>
      </w:r>
    </w:p>
    <w:p>
      <w:pPr>
        <w:pStyle w:val="ListParagraph"/>
        <w:numPr>
          <w:ilvl w:val="0"/>
          <w:numId w:val="2"/>
        </w:numPr>
        <w:spacing w:after="90" w:line="270"/>
      </w:pPr>
      <w:r>
        <w:rPr>
          <w:rFonts w:ascii="Arial" w:cs="Arial" w:eastAsia="Arial" w:hAnsi="Arial"/>
          <w:b/>
          <w:bCs/>
          <w:i w:val="false"/>
          <w:iCs w:val="false"/>
          <w:color w:val="1A1A1A"/>
          <w:sz w:val="22"/>
          <w:szCs w:val="22"/>
        </w:rPr>
        <w:t xml:space="preserve">Growth and inflation. </w:t>
      </w:r>
      <w:r>
        <w:rPr>
          <w:rFonts w:ascii="Arial" w:cs="Arial" w:eastAsia="Arial" w:hAnsi="Arial"/>
          <w:b w:val="false"/>
          <w:bCs w:val="false"/>
          <w:i w:val="false"/>
          <w:iCs w:val="false"/>
          <w:color w:val="1A1A1A"/>
          <w:sz w:val="22"/>
          <w:szCs w:val="22"/>
        </w:rPr>
        <w:t xml:space="preserve">S&amp;P Global now forecasts U.S. GDP growth of about 2.2% in 2026 with headline inflation pushed temporarily toward 4%, and puts 12-month recession risk near 30% — a “growth scare,” not yet a downturn. The IMF’s April 2026 outlook, titled “Global Economy in the Shadow of War,” revised global growth down to roughly 3.1%.</w:t>
      </w:r>
    </w:p>
    <w:p>
      <w:pPr>
        <w:spacing w:after="140" w:line="276"/>
        <w:jc w:val="left"/>
      </w:pPr>
      <w:r>
        <w:rPr>
          <w:rFonts w:ascii="Arial" w:cs="Arial" w:eastAsia="Arial" w:hAnsi="Arial"/>
          <w:b/>
          <w:bCs/>
          <w:i w:val="false"/>
          <w:iCs w:val="false"/>
          <w:color w:val="1A1A1A"/>
          <w:sz w:val="22"/>
          <w:szCs w:val="22"/>
        </w:rPr>
        <w:t xml:space="preserve">What this means for M2M: </w:t>
      </w:r>
      <w:r>
        <w:rPr>
          <w:rFonts w:ascii="Arial" w:cs="Arial" w:eastAsia="Arial" w:hAnsi="Arial"/>
          <w:b w:val="false"/>
          <w:bCs w:val="false"/>
          <w:i w:val="false"/>
          <w:iCs w:val="false"/>
          <w:color w:val="1A1A1A"/>
          <w:sz w:val="22"/>
          <w:szCs w:val="22"/>
        </w:rPr>
        <w:t xml:space="preserve">when input costs rise and growth softens, organizations stop hiring their way out of problems. The board question shifts from “who do we add” to “how do we get more from the people and systems we already have.” That is a transformation question. It is the exact question M2M is built to answer — and the macro shock makes it urgent rather than aspirational.</w:t>
      </w:r>
    </w:p>
    <w:p>
      <w:pPr>
        <w:pStyle w:val="Heading1"/>
        <w:pBdr>
          <w:bottom w:val="single" w:color="B08D2D" w:sz="12" w:space="4"/>
        </w:pBdr>
        <w:spacing w:after="140" w:before="320"/>
      </w:pPr>
      <w:r>
        <w:rPr>
          <w:rFonts w:ascii="Arial" w:cs="Arial" w:eastAsia="Arial" w:hAnsi="Arial"/>
          <w:b/>
          <w:bCs/>
          <w:color w:val="0B1F3A"/>
        </w:rPr>
        <w:t xml:space="preserve">2.  The Procurement Realignment</w:t>
      </w:r>
    </w:p>
    <w:p>
      <w:pPr>
        <w:spacing w:after="140" w:line="276"/>
        <w:jc w:val="left"/>
      </w:pPr>
      <w:r>
        <w:rPr>
          <w:rFonts w:ascii="Arial" w:cs="Arial" w:eastAsia="Arial" w:hAnsi="Arial"/>
          <w:b w:val="false"/>
          <w:bCs w:val="false"/>
          <w:i w:val="false"/>
          <w:iCs w:val="false"/>
          <w:color w:val="1A1A1A"/>
          <w:sz w:val="22"/>
          <w:szCs w:val="22"/>
        </w:rPr>
        <w:t xml:space="preserve">The second shift is quieter but, for M2M, more consequential. The corporate diversity-procurement category has been redrawn since late 2024.</w:t>
      </w:r>
    </w:p>
    <w:p>
      <w:pPr>
        <w:pStyle w:val="Heading2"/>
        <w:spacing w:after="80" w:before="220"/>
      </w:pPr>
      <w:r>
        <w:rPr>
          <w:rFonts w:ascii="Arial" w:cs="Arial" w:eastAsia="Arial" w:hAnsi="Arial"/>
          <w:b/>
          <w:bCs/>
          <w:color w:val="8C6F1F"/>
        </w:rPr>
        <w:t xml:space="preserve">What contracted</w:t>
      </w:r>
    </w:p>
    <w:p>
      <w:pPr>
        <w:pStyle w:val="ListParagraph"/>
        <w:numPr>
          <w:ilvl w:val="0"/>
          <w:numId w:val="2"/>
        </w:numPr>
        <w:spacing w:after="90" w:line="270"/>
      </w:pPr>
      <w:r>
        <w:rPr>
          <w:rFonts w:ascii="Arial" w:cs="Arial" w:eastAsia="Arial" w:hAnsi="Arial"/>
          <w:b w:val="false"/>
          <w:bCs w:val="false"/>
          <w:i w:val="false"/>
          <w:iCs w:val="false"/>
          <w:color w:val="1A1A1A"/>
          <w:sz w:val="22"/>
          <w:szCs w:val="22"/>
        </w:rPr>
        <w:t xml:space="preserve">More than 200 S&amp;P 500 companies removed “diversity,” “equity,” and “inclusion” language from their SEC filings in 2025, and DEI mentions in corporate reporting fell by roughly 70% over two years (Harvard / financial-research analysis, 2025).</w:t>
      </w:r>
    </w:p>
    <w:p>
      <w:pPr>
        <w:pStyle w:val="ListParagraph"/>
        <w:numPr>
          <w:ilvl w:val="0"/>
          <w:numId w:val="2"/>
        </w:numPr>
        <w:spacing w:after="90" w:line="270"/>
      </w:pPr>
      <w:r>
        <w:rPr>
          <w:rFonts w:ascii="Arial" w:cs="Arial" w:eastAsia="Arial" w:hAnsi="Arial"/>
          <w:b w:val="false"/>
          <w:bCs w:val="false"/>
          <w:i w:val="false"/>
          <w:iCs w:val="false"/>
          <w:color w:val="1A1A1A"/>
          <w:sz w:val="22"/>
          <w:szCs w:val="22"/>
        </w:rPr>
        <w:t xml:space="preserve">Named retreats reset the supplier conversation: McDonald’s set aside its supplier diversity pledge (Jan 2025); Lowe’s dropped supplier diversity goals; Meta abandoned diversity targets in vendor selection; Target and Amazon wound down public commitments (Fortune, Reuters, Forbes, 2025).</w:t>
      </w:r>
    </w:p>
    <w:p>
      <w:pPr>
        <w:pStyle w:val="Heading2"/>
        <w:spacing w:after="80" w:before="220"/>
      </w:pPr>
      <w:r>
        <w:rPr>
          <w:rFonts w:ascii="Arial" w:cs="Arial" w:eastAsia="Arial" w:hAnsi="Arial"/>
          <w:b/>
          <w:bCs/>
          <w:color w:val="8C6F1F"/>
        </w:rPr>
        <w:t xml:space="preserve">What held — and grew</w:t>
      </w:r>
    </w:p>
    <w:p>
      <w:pPr>
        <w:pStyle w:val="ListParagraph"/>
        <w:numPr>
          <w:ilvl w:val="0"/>
          <w:numId w:val="2"/>
        </w:numPr>
        <w:spacing w:after="90" w:line="270"/>
      </w:pPr>
      <w:r>
        <w:rPr>
          <w:rFonts w:ascii="Arial" w:cs="Arial" w:eastAsia="Arial" w:hAnsi="Arial"/>
          <w:b/>
          <w:bCs/>
          <w:i w:val="false"/>
          <w:iCs w:val="false"/>
          <w:color w:val="1A1A1A"/>
          <w:sz w:val="22"/>
          <w:szCs w:val="22"/>
        </w:rPr>
        <w:t xml:space="preserve">Veteran-owned is the durable lane. </w:t>
      </w:r>
      <w:r>
        <w:rPr>
          <w:rFonts w:ascii="Arial" w:cs="Arial" w:eastAsia="Arial" w:hAnsi="Arial"/>
          <w:b w:val="false"/>
          <w:bCs w:val="false"/>
          <w:i w:val="false"/>
          <w:iCs w:val="false"/>
          <w:color w:val="1A1A1A"/>
          <w:sz w:val="22"/>
          <w:szCs w:val="22"/>
        </w:rPr>
        <w:t xml:space="preserve">IBM explicitly re-anchored its supplier approach to “small or veteran-owned businesses.” Walmart cut DEI leadership but kept supplier diversity intact. The veteran credential survives the legal and political backlash that the race- and gender-based categories did not (Forbes, AOL/Fortune, 2025).</w:t>
      </w:r>
    </w:p>
    <w:p>
      <w:pPr>
        <w:pStyle w:val="ListParagraph"/>
        <w:numPr>
          <w:ilvl w:val="0"/>
          <w:numId w:val="2"/>
        </w:numPr>
        <w:spacing w:after="90" w:line="270"/>
      </w:pPr>
      <w:r>
        <w:rPr>
          <w:rFonts w:ascii="Arial" w:cs="Arial" w:eastAsia="Arial" w:hAnsi="Arial"/>
          <w:b/>
          <w:bCs/>
          <w:i w:val="false"/>
          <w:iCs w:val="false"/>
          <w:color w:val="1A1A1A"/>
          <w:sz w:val="22"/>
          <w:szCs w:val="22"/>
        </w:rPr>
        <w:t xml:space="preserve">The federal floor rose. </w:t>
      </w:r>
      <w:r>
        <w:rPr>
          <w:rFonts w:ascii="Arial" w:cs="Arial" w:eastAsia="Arial" w:hAnsi="Arial"/>
          <w:b w:val="false"/>
          <w:bCs w:val="false"/>
          <w:i w:val="false"/>
          <w:iCs w:val="false"/>
          <w:color w:val="1A1A1A"/>
          <w:sz w:val="22"/>
          <w:szCs w:val="22"/>
        </w:rPr>
        <w:t xml:space="preserve">The FY2024 NDAA raised the government-wide SDVOSB goal from 3% to 5% of prime and subcontract dollars. In FY2025, agencies awarded about $28.6 billion across roughly 52,000 contract actions to SDVOSB firms — the second-largest set-aside category by dollar volume (Fed-Spend / FPDS, 2026).</w:t>
      </w:r>
    </w:p>
    <w:p>
      <w:pPr>
        <w:pStyle w:val="ListParagraph"/>
        <w:numPr>
          <w:ilvl w:val="0"/>
          <w:numId w:val="2"/>
        </w:numPr>
        <w:spacing w:after="90" w:line="270"/>
      </w:pPr>
      <w:r>
        <w:rPr>
          <w:rFonts w:ascii="Arial" w:cs="Arial" w:eastAsia="Arial" w:hAnsi="Arial"/>
          <w:b/>
          <w:bCs/>
          <w:i w:val="false"/>
          <w:iCs w:val="false"/>
          <w:color w:val="1A1A1A"/>
          <w:sz w:val="22"/>
          <w:szCs w:val="22"/>
        </w:rPr>
        <w:t xml:space="preserve">The pipe is open and faster. </w:t>
      </w:r>
      <w:r>
        <w:rPr>
          <w:rFonts w:ascii="Arial" w:cs="Arial" w:eastAsia="Arial" w:hAnsi="Arial"/>
          <w:b w:val="false"/>
          <w:bCs w:val="false"/>
          <w:i w:val="false"/>
          <w:iCs w:val="false"/>
          <w:color w:val="1A1A1A"/>
          <w:sz w:val="22"/>
          <w:szCs w:val="22"/>
        </w:rPr>
        <w:t xml:space="preserve">The SBA cleared its VetCert backlog in November 2025; SDVOSB certification now processes in roughly 12 days, down from 81. The VA’s Veterans First program gives certified veteran firms statutory priority over other set-aside types (SBA; USFCR, 2026).</w:t>
      </w:r>
    </w:p>
    <w:p>
      <w:pPr>
        <w:spacing w:after="140" w:line="276"/>
        <w:jc w:val="left"/>
      </w:pPr>
      <w:r>
        <w:rPr>
          <w:rFonts w:ascii="Arial" w:cs="Arial" w:eastAsia="Arial" w:hAnsi="Arial"/>
          <w:b/>
          <w:bCs/>
          <w:i w:val="false"/>
          <w:iCs w:val="false"/>
          <w:color w:val="1A1A1A"/>
          <w:sz w:val="22"/>
          <w:szCs w:val="22"/>
        </w:rPr>
        <w:t xml:space="preserve">The strategic read: </w:t>
      </w:r>
      <w:r>
        <w:rPr>
          <w:rFonts w:ascii="Arial" w:cs="Arial" w:eastAsia="Arial" w:hAnsi="Arial"/>
          <w:b w:val="false"/>
          <w:bCs w:val="false"/>
          <w:i w:val="false"/>
          <w:iCs w:val="false"/>
          <w:color w:val="1A1A1A"/>
          <w:sz w:val="22"/>
          <w:szCs w:val="22"/>
        </w:rPr>
        <w:t xml:space="preserve">M2M’s certification value does not disappear in this environment — it </w:t>
      </w:r>
      <w:r>
        <w:rPr>
          <w:rFonts w:ascii="Arial" w:cs="Arial" w:eastAsia="Arial" w:hAnsi="Arial"/>
          <w:b w:val="false"/>
          <w:bCs w:val="false"/>
          <w:i/>
          <w:iCs/>
          <w:color w:val="1A1A1A"/>
          <w:sz w:val="22"/>
          <w:szCs w:val="22"/>
        </w:rPr>
        <w:t xml:space="preserve">migrates</w:t>
      </w:r>
      <w:r>
        <w:rPr>
          <w:rFonts w:ascii="Arial" w:cs="Arial" w:eastAsia="Arial" w:hAnsi="Arial"/>
          <w:b w:val="false"/>
          <w:bCs w:val="false"/>
          <w:i w:val="false"/>
          <w:iCs w:val="false"/>
          <w:color w:val="1A1A1A"/>
          <w:sz w:val="22"/>
          <w:szCs w:val="22"/>
        </w:rPr>
        <w:t xml:space="preserve">. It moves from “diversity story” (contracting, contested) to “durability and de-risk story” (protected, growing). The same SDVOSB + VBE credentials now answer a different and stronger buyer question: not “does working with you check a box,” but “does working with you reduce my procurement risk and open a protected channel.”</w:t>
      </w:r>
    </w:p>
    <w:p>
      <w:pPr>
        <w:spacing w:after="140" w:line="276"/>
        <w:jc w:val="left"/>
      </w:pPr>
      <w:r>
        <w:rPr>
          <w:rFonts w:ascii="Arial" w:cs="Arial" w:eastAsia="Arial" w:hAnsi="Arial"/>
          <w:b/>
          <w:bCs/>
          <w:i w:val="false"/>
          <w:iCs w:val="false"/>
          <w:color w:val="1A1A1A"/>
          <w:sz w:val="22"/>
          <w:szCs w:val="22"/>
        </w:rPr>
        <w:t xml:space="preserve">Note on the credential stack: </w:t>
      </w:r>
      <w:r>
        <w:rPr>
          <w:rFonts w:ascii="Arial" w:cs="Arial" w:eastAsia="Arial" w:hAnsi="Arial"/>
          <w:b w:val="false"/>
          <w:bCs w:val="false"/>
          <w:i w:val="false"/>
          <w:iCs w:val="false"/>
          <w:color w:val="1A1A1A"/>
          <w:sz w:val="22"/>
          <w:szCs w:val="22"/>
        </w:rPr>
        <w:t xml:space="preserve">M2M holds SDVOSB and VBE. DOBE is in process via VVICINC. The position below is built on the certifications M2M holds today, not on pending status.</w:t>
      </w:r>
    </w:p>
    <w:p>
      <w:pPr>
        <w:pStyle w:val="Heading1"/>
        <w:pBdr>
          <w:bottom w:val="single" w:color="B08D2D" w:sz="12" w:space="4"/>
        </w:pBdr>
        <w:spacing w:after="140" w:before="320"/>
      </w:pPr>
      <w:r>
        <w:rPr>
          <w:rFonts w:ascii="Arial" w:cs="Arial" w:eastAsia="Arial" w:hAnsi="Arial"/>
          <w:b/>
          <w:bCs/>
          <w:color w:val="0B1F3A"/>
        </w:rPr>
        <w:t xml:space="preserve">3.  The M2M Position</w:t>
      </w:r>
    </w:p>
    <w:p>
      <w:pPr>
        <w:spacing w:after="140" w:line="276"/>
        <w:jc w:val="left"/>
      </w:pPr>
      <w:r>
        <w:rPr>
          <w:rFonts w:ascii="Arial" w:cs="Arial" w:eastAsia="Arial" w:hAnsi="Arial"/>
          <w:b w:val="false"/>
          <w:bCs w:val="false"/>
          <w:i w:val="false"/>
          <w:iCs w:val="false"/>
          <w:color w:val="1A1A1A"/>
          <w:sz w:val="22"/>
          <w:szCs w:val="22"/>
        </w:rPr>
        <w:t xml:space="preserve">M2M is not a diversity supplier. M2M is an </w:t>
      </w:r>
      <w:r>
        <w:rPr>
          <w:rFonts w:ascii="Arial" w:cs="Arial" w:eastAsia="Arial" w:hAnsi="Arial"/>
          <w:b/>
          <w:bCs/>
          <w:i w:val="false"/>
          <w:iCs w:val="false"/>
          <w:color w:val="1A1A1A"/>
          <w:sz w:val="22"/>
          <w:szCs w:val="22"/>
        </w:rPr>
        <w:t xml:space="preserve">operating-system firm</w:t>
      </w:r>
      <w:r>
        <w:rPr>
          <w:rFonts w:ascii="Arial" w:cs="Arial" w:eastAsia="Arial" w:hAnsi="Arial"/>
          <w:b w:val="false"/>
          <w:bCs w:val="false"/>
          <w:i w:val="false"/>
          <w:iCs w:val="false"/>
          <w:color w:val="1A1A1A"/>
          <w:sz w:val="22"/>
          <w:szCs w:val="22"/>
        </w:rPr>
        <w:t xml:space="preserve"> for human and organizational performance, carrying veteran certifications that de-risk the buy. That order is the entire repositioning.</w:t>
      </w:r>
    </w:p>
    <w:p>
      <w:pPr>
        <w:spacing w:after="140" w:line="276"/>
        <w:jc w:val="left"/>
      </w:pPr>
      <w:r>
        <w:rPr>
          <w:rFonts w:ascii="Arial" w:cs="Arial" w:eastAsia="Arial" w:hAnsi="Arial"/>
          <w:b w:val="false"/>
          <w:bCs w:val="false"/>
          <w:i w:val="false"/>
          <w:iCs w:val="false"/>
          <w:color w:val="1A1A1A"/>
          <w:sz w:val="22"/>
          <w:szCs w:val="22"/>
        </w:rPr>
        <w:t xml:space="preserve">The market is spending heavily on exactly what M2M does. Global enterprise AI spend is projected at about $407 billion in 2026, up roughly 35% from $302 billion in 2025 (IDC). But the money is stuck. Deloitte’s 2026 enterprise survey finds most organizations are educating employees on AI while very few are re-architecting roles, workflows, and career paths — and that the organizations seeing real value are the ones that </w:t>
      </w:r>
      <w:r>
        <w:rPr>
          <w:rFonts w:ascii="Arial" w:cs="Arial" w:eastAsia="Arial" w:hAnsi="Arial"/>
          <w:b w:val="false"/>
          <w:bCs w:val="false"/>
          <w:i/>
          <w:iCs/>
          <w:color w:val="1A1A1A"/>
          <w:sz w:val="22"/>
          <w:szCs w:val="22"/>
        </w:rPr>
        <w:t xml:space="preserve">reimagine the jobs</w:t>
      </w:r>
      <w:r>
        <w:rPr>
          <w:rFonts w:ascii="Arial" w:cs="Arial" w:eastAsia="Arial" w:hAnsi="Arial"/>
          <w:b w:val="false"/>
          <w:bCs w:val="false"/>
          <w:i w:val="false"/>
          <w:iCs w:val="false"/>
          <w:color w:val="1A1A1A"/>
          <w:sz w:val="22"/>
          <w:szCs w:val="22"/>
        </w:rPr>
        <w:t xml:space="preserve">, not the ones that buy more tools. McKinsey reports 63% of companies intend to reskill their existing people rather than hire AI specialists; IBM finds about 31% of the workforce needs retraining within three years.</w:t>
      </w:r>
    </w:p>
    <w:p>
      <w:pPr>
        <w:spacing w:after="140" w:line="276"/>
        <w:jc w:val="left"/>
      </w:pPr>
      <w:r>
        <w:rPr>
          <w:rFonts w:ascii="Arial" w:cs="Arial" w:eastAsia="Arial" w:hAnsi="Arial"/>
          <w:b w:val="false"/>
          <w:bCs w:val="false"/>
          <w:i w:val="false"/>
          <w:iCs w:val="false"/>
          <w:color w:val="1A1A1A"/>
          <w:sz w:val="22"/>
          <w:szCs w:val="22"/>
        </w:rPr>
        <w:t xml:space="preserve">That gap — between AI spend and AI value, between tools bought and work redesigned — is the M2M product. The market-context line says it plainly: leadership now requires continuously updating the operating system. M2M sells the update: for the individual (PIVOT OS™), for the employer and SMB (BRIDGE OS™), and for the enterprise and GovCon (Human OS™).</w:t>
      </w:r>
    </w:p>
    <w:p>
      <w:pPr>
        <w:pStyle w:val="Heading1"/>
        <w:pBdr>
          <w:bottom w:val="single" w:color="B08D2D" w:sz="12" w:space="4"/>
        </w:pBdr>
        <w:spacing w:after="140" w:before="320"/>
      </w:pPr>
      <w:r>
        <w:rPr>
          <w:rFonts w:ascii="Arial" w:cs="Arial" w:eastAsia="Arial" w:hAnsi="Arial"/>
          <w:b/>
          <w:bCs/>
          <w:color w:val="0B1F3A"/>
        </w:rPr>
        <w:t xml:space="preserve">4.  Niche, Advantages, and Exposures</w:t>
      </w:r>
    </w:p>
    <w:p>
      <w:pPr>
        <w:spacing w:after="140" w:line="276"/>
        <w:jc w:val="left"/>
      </w:pPr>
      <w:r>
        <w:rPr>
          <w:rFonts w:ascii="Arial" w:cs="Arial" w:eastAsia="Arial" w:hAnsi="Arial"/>
          <w:b w:val="false"/>
          <w:bCs w:val="false"/>
          <w:i w:val="false"/>
          <w:iCs w:val="false"/>
          <w:color w:val="1A1A1A"/>
          <w:sz w:val="22"/>
          <w:szCs w:val="22"/>
        </w:rPr>
        <w:t xml:space="preserve">Honest positioning names the soft spots as clearly as the strengths. The gate does not let a brief ship that only flatters.</w:t>
      </w:r>
    </w:p>
    <w:p>
      <w:pPr>
        <w:pStyle w:val="Heading2"/>
        <w:spacing w:after="80" w:before="220"/>
      </w:pPr>
      <w:r>
        <w:rPr>
          <w:rFonts w:ascii="Arial" w:cs="Arial" w:eastAsia="Arial" w:hAnsi="Arial"/>
          <w:b/>
          <w:bCs/>
          <w:color w:val="8C6F1F"/>
        </w:rPr>
        <w:t xml:space="preserve">Where M2M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8D2C2" w:sz="4"/>
              <w:left w:val="single" w:color="D8D2C2" w:sz="4"/>
              <w:bottom w:val="single" w:color="D8D2C2" w:sz="4"/>
              <w:right w:val="single" w:color="D8D2C2" w:sz="4"/>
            </w:tcBorders>
            <w:shd w:fill="0B1F3A"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Position / niche</w:t>
            </w:r>
          </w:p>
        </w:tc>
        <w:tc>
          <w:tcPr>
            <w:tcW w:type="dxa" w:w="6060"/>
            <w:tcBorders>
              <w:top w:val="single" w:color="D8D2C2" w:sz="4"/>
              <w:left w:val="single" w:color="D8D2C2" w:sz="4"/>
              <w:bottom w:val="single" w:color="D8D2C2" w:sz="4"/>
              <w:right w:val="single" w:color="D8D2C2" w:sz="4"/>
            </w:tcBorders>
            <w:shd w:fill="0B1F3A"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Why it holds in this market</w:t>
            </w:r>
          </w:p>
        </w:tc>
      </w:tr>
      <w:tr>
        <w:trPr>
          <w:tblHeader w:val="false"/>
        </w:trPr>
        <w:tc>
          <w:tcPr>
            <w:tcW w:type="dxa" w:w="330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The veteran credential as de-risk, not diversity</w:t>
            </w:r>
          </w:p>
        </w:tc>
        <w:tc>
          <w:tcPr>
            <w:tcW w:type="dxa" w:w="606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Survives the DEI rollback and rising legal scrutiny; opens a protected, growing federal channel (3% → 5% goal; $28.6B in FY2025).</w:t>
            </w:r>
          </w:p>
        </w:tc>
      </w:tr>
      <w:tr>
        <w:trPr>
          <w:tblHeader w:val="false"/>
        </w:trPr>
        <w:tc>
          <w:tcPr>
            <w:tcW w:type="dxa" w:w="330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OS thesis tied to a measured buyer pain</w:t>
            </w:r>
          </w:p>
        </w:tc>
        <w:tc>
          <w:tcPr>
            <w:tcW w:type="dxa" w:w="606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Speaks to the $407B AI spend that is stuck in pilot. M2M sells work redesign, the thing buyers admit they are not doing.</w:t>
            </w:r>
          </w:p>
        </w:tc>
      </w:tr>
      <w:tr>
        <w:trPr>
          <w:tblHeader w:val="false"/>
        </w:trPr>
        <w:tc>
          <w:tcPr>
            <w:tcW w:type="dxa" w:w="330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Three calibrated lanes, one doctrine</w:t>
            </w:r>
          </w:p>
        </w:tc>
        <w:tc>
          <w:tcPr>
            <w:tcW w:type="dxa" w:w="606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PIVOT / BRIDGE / Human OS let M2M enter at the individual, the SMB, or the enterprise without rebuilding the pitch.</w:t>
            </w:r>
          </w:p>
        </w:tc>
      </w:tr>
      <w:tr>
        <w:trPr>
          <w:tblHeader w:val="false"/>
        </w:trPr>
        <w:tc>
          <w:tcPr>
            <w:tcW w:type="dxa" w:w="330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Authenticated, non-generic voice</w:t>
            </w:r>
          </w:p>
        </w:tc>
        <w:tc>
          <w:tcPr>
            <w:tcW w:type="dxa" w:w="606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The Sovereign Architect register and lived authority cannot be reproduced by a competitor running a generic prompt. Trust is the moat.</w:t>
            </w:r>
          </w:p>
        </w:tc>
      </w:tr>
      <w:tr>
        <w:trPr>
          <w:tblHeader w:val="false"/>
        </w:trPr>
        <w:tc>
          <w:tcPr>
            <w:tcW w:type="dxa" w:w="330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Built infrastructure, not slideware</w:t>
            </w:r>
          </w:p>
        </w:tc>
        <w:tc>
          <w:tcPr>
            <w:tcW w:type="dxa" w:w="606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A live automation, governance, and delivery stack means M2M can show the operating system, not just describe it.</w:t>
            </w:r>
          </w:p>
        </w:tc>
      </w:tr>
    </w:tbl>
    <w:p>
      <w:pPr>
        <w:pStyle w:val="Heading2"/>
        <w:spacing w:after="80" w:before="220"/>
      </w:pPr>
      <w:r>
        <w:rPr>
          <w:rFonts w:ascii="Arial" w:cs="Arial" w:eastAsia="Arial" w:hAnsi="Arial"/>
          <w:b/>
          <w:bCs/>
          <w:color w:val="8C6F1F"/>
        </w:rPr>
        <w:t xml:space="preserve">Where M2M is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rPr>
          <w:tblHeader/>
        </w:trPr>
        <w:tc>
          <w:tcPr>
            <w:tcW w:type="dxa" w:w="4180"/>
            <w:tcBorders>
              <w:top w:val="single" w:color="D8D2C2" w:sz="4"/>
              <w:left w:val="single" w:color="D8D2C2" w:sz="4"/>
              <w:bottom w:val="single" w:color="D8D2C2" w:sz="4"/>
              <w:right w:val="single" w:color="D8D2C2" w:sz="4"/>
            </w:tcBorders>
            <w:shd w:fill="13294B"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Exposure</w:t>
            </w:r>
          </w:p>
        </w:tc>
        <w:tc>
          <w:tcPr>
            <w:tcW w:type="dxa" w:w="5180"/>
            <w:tcBorders>
              <w:top w:val="single" w:color="D8D2C2" w:sz="4"/>
              <w:left w:val="single" w:color="D8D2C2" w:sz="4"/>
              <w:bottom w:val="single" w:color="D8D2C2" w:sz="4"/>
              <w:right w:val="single" w:color="D8D2C2" w:sz="4"/>
            </w:tcBorders>
            <w:shd w:fill="13294B"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Mitigation</w:t>
            </w:r>
          </w:p>
        </w:tc>
      </w:tr>
      <w:tr>
        <w:trPr>
          <w:tblHeader w:val="false"/>
        </w:trPr>
        <w:tc>
          <w:tcPr>
            <w:tcW w:type="dxa" w:w="41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Over-indexed on “diversity” language in legacy materials</w:t>
            </w:r>
          </w:p>
        </w:tc>
        <w:tc>
          <w:tcPr>
            <w:tcW w:type="dxa" w:w="51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Reorder to capability-first; reframe certifications as procurement de-risk. This brief is step one.</w:t>
            </w:r>
          </w:p>
        </w:tc>
      </w:tr>
      <w:tr>
        <w:trPr>
          <w:tblHeader w:val="false"/>
        </w:trPr>
        <w:tc>
          <w:tcPr>
            <w:tcW w:type="dxa" w:w="4180"/>
            <w:tcBorders>
              <w:top w:val="single" w:color="D8D2C2" w:sz="4"/>
              <w:left w:val="single" w:color="D8D2C2" w:sz="4"/>
              <w:bottom w:val="single" w:color="D8D2C2" w:sz="4"/>
              <w:right w:val="single" w:color="D8D2C2" w:sz="4"/>
            </w:tcBorders>
            <w:shd w:fill="F2F4F7"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Solo-principal credibility ceiling at enterprise scale</w:t>
            </w:r>
          </w:p>
        </w:tc>
        <w:tc>
          <w:tcPr>
            <w:tcW w:type="dxa" w:w="5180"/>
            <w:tcBorders>
              <w:top w:val="single" w:color="D8D2C2" w:sz="4"/>
              <w:left w:val="single" w:color="D8D2C2" w:sz="4"/>
              <w:bottom w:val="single" w:color="D8D2C2" w:sz="4"/>
              <w:right w:val="single" w:color="D8D2C2" w:sz="4"/>
            </w:tcBorders>
            <w:shd w:fill="F2F4F7"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Lead with the platform, governance, and named partners (CenterMarq, SAF) so the buy does not look like a single consultant.</w:t>
            </w:r>
          </w:p>
        </w:tc>
      </w:tr>
      <w:tr>
        <w:trPr>
          <w:tblHeader w:val="false"/>
        </w:trPr>
        <w:tc>
          <w:tcPr>
            <w:tcW w:type="dxa" w:w="41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Crowded “AI transformation” field</w:t>
            </w:r>
          </w:p>
        </w:tc>
        <w:tc>
          <w:tcPr>
            <w:tcW w:type="dxa" w:w="51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Differentiate on the operating-system framework and the veteran/GovCon channel — a lane most AI consultancies cannot enter.</w:t>
            </w:r>
          </w:p>
        </w:tc>
      </w:tr>
      <w:tr>
        <w:trPr>
          <w:tblHeader w:val="false"/>
        </w:trPr>
        <w:tc>
          <w:tcPr>
            <w:tcW w:type="dxa" w:w="4180"/>
            <w:tcBorders>
              <w:top w:val="single" w:color="D8D2C2" w:sz="4"/>
              <w:left w:val="single" w:color="D8D2C2" w:sz="4"/>
              <w:bottom w:val="single" w:color="D8D2C2" w:sz="4"/>
              <w:right w:val="single" w:color="D8D2C2" w:sz="4"/>
            </w:tcBorders>
            <w:shd w:fill="F2F4F7"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SDVOSB dollars are concentrated</w:t>
            </w:r>
          </w:p>
        </w:tc>
        <w:tc>
          <w:tcPr>
            <w:tcW w:type="dxa" w:w="5180"/>
            <w:tcBorders>
              <w:top w:val="single" w:color="D8D2C2" w:sz="4"/>
              <w:left w:val="single" w:color="D8D2C2" w:sz="4"/>
              <w:bottom w:val="single" w:color="D8D2C2" w:sz="4"/>
              <w:right w:val="single" w:color="D8D2C2" w:sz="4"/>
            </w:tcBorders>
            <w:shd w:fill="F2F4F7"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Federal awards skew to firms with business-development discipline. M2M’s edge is exactly that discipline — but it must be applied, not assumed.</w:t>
            </w:r>
          </w:p>
        </w:tc>
      </w:tr>
      <w:tr>
        <w:trPr>
          <w:tblHeader w:val="false"/>
        </w:trPr>
        <w:tc>
          <w:tcPr>
            <w:tcW w:type="dxa" w:w="41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Macro softness can freeze discretionary spend</w:t>
            </w:r>
          </w:p>
        </w:tc>
        <w:tc>
          <w:tcPr>
            <w:tcW w:type="dxa" w:w="51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Anchor the offer to cost-out and do-more-with-less outcomes, which survive a budget freeze better than growth-only pitches.</w:t>
            </w:r>
          </w:p>
        </w:tc>
      </w:tr>
    </w:tbl>
    <w:p>
      <w:pPr>
        <w:pStyle w:val="Heading1"/>
        <w:pBdr>
          <w:bottom w:val="single" w:color="B08D2D" w:sz="12" w:space="4"/>
        </w:pBdr>
        <w:spacing w:after="140" w:before="320"/>
      </w:pPr>
      <w:r>
        <w:rPr>
          <w:rFonts w:ascii="Arial" w:cs="Arial" w:eastAsia="Arial" w:hAnsi="Arial"/>
          <w:b/>
          <w:bCs/>
          <w:color w:val="0B1F3A"/>
        </w:rPr>
        <w:t xml:space="preserve">5.  Who Should Know M2M — and Why</w:t>
      </w:r>
    </w:p>
    <w:p>
      <w:pPr>
        <w:spacing w:after="140" w:line="276"/>
        <w:jc w:val="left"/>
      </w:pPr>
      <w:r>
        <w:rPr>
          <w:rFonts w:ascii="Arial" w:cs="Arial" w:eastAsia="Arial" w:hAnsi="Arial"/>
          <w:b w:val="false"/>
          <w:bCs w:val="false"/>
          <w:i w:val="false"/>
          <w:iCs w:val="false"/>
          <w:color w:val="1A1A1A"/>
          <w:sz w:val="22"/>
          <w:szCs w:val="22"/>
        </w:rPr>
        <w:t xml:space="preserve">Position is only useful pointed at a buyer. Four tiers, each with a different reason to take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8D2C2" w:sz="4"/>
              <w:left w:val="single" w:color="D8D2C2" w:sz="4"/>
              <w:bottom w:val="single" w:color="D8D2C2" w:sz="4"/>
              <w:right w:val="single" w:color="D8D2C2" w:sz="4"/>
            </w:tcBorders>
            <w:shd w:fill="0B1F3A"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Tier / audience</w:t>
            </w:r>
          </w:p>
        </w:tc>
        <w:tc>
          <w:tcPr>
            <w:tcW w:type="dxa" w:w="3580"/>
            <w:tcBorders>
              <w:top w:val="single" w:color="D8D2C2" w:sz="4"/>
              <w:left w:val="single" w:color="D8D2C2" w:sz="4"/>
              <w:bottom w:val="single" w:color="D8D2C2" w:sz="4"/>
              <w:right w:val="single" w:color="D8D2C2" w:sz="4"/>
            </w:tcBorders>
            <w:shd w:fill="0B1F3A"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Who, specifically</w:t>
            </w:r>
          </w:p>
        </w:tc>
        <w:tc>
          <w:tcPr>
            <w:tcW w:type="dxa" w:w="3580"/>
            <w:tcBorders>
              <w:top w:val="single" w:color="D8D2C2" w:sz="4"/>
              <w:left w:val="single" w:color="D8D2C2" w:sz="4"/>
              <w:bottom w:val="single" w:color="D8D2C2" w:sz="4"/>
              <w:right w:val="single" w:color="D8D2C2" w:sz="4"/>
            </w:tcBorders>
            <w:shd w:fill="0B1F3A" w:val="clear"/>
            <w:tcMar>
              <w:top w:type="dxa" w:w="90"/>
              <w:left w:type="dxa" w:w="130"/>
              <w:bottom w:type="dxa" w:w="90"/>
              <w:right w:type="dxa" w:w="130"/>
            </w:tcMar>
            <w:vAlign w:val="top"/>
          </w:tcPr>
          <w:p>
            <w:pPr>
              <w:spacing w:after="0"/>
            </w:pPr>
            <w:r>
              <w:rPr>
                <w:rFonts w:ascii="Arial" w:cs="Arial" w:eastAsia="Arial" w:hAnsi="Arial"/>
                <w:b/>
                <w:bCs/>
                <w:color w:val="FFFFFF"/>
                <w:sz w:val="21"/>
                <w:szCs w:val="21"/>
              </w:rPr>
              <w:t xml:space="preserve">Why M2M, in their language</w:t>
            </w:r>
          </w:p>
        </w:tc>
      </w:tr>
      <w:tr>
        <w:trPr>
          <w:tblHeader w:val="false"/>
        </w:trPr>
        <w:tc>
          <w:tcPr>
            <w:tcW w:type="dxa" w:w="220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Fortune 100 procurement &amp; supplier ops</w:t>
            </w:r>
          </w:p>
        </w:tc>
        <w:tc>
          <w:tcPr>
            <w:tcW w:type="dxa" w:w="35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Chief Procurement Officers and supplier-relationship leads at firms that kept veteran/small-business sourcing (Walmart-type, IBM-type, regulated primes)</w:t>
            </w:r>
          </w:p>
        </w:tc>
        <w:tc>
          <w:tcPr>
            <w:tcW w:type="dxa" w:w="35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A certified veteran partner that lowers procurement risk and delivers transformation work — the rare supplier that satisfies the channel and the capability need at once.</w:t>
            </w:r>
          </w:p>
        </w:tc>
      </w:tr>
      <w:tr>
        <w:trPr>
          <w:tblHeader w:val="false"/>
        </w:trPr>
        <w:tc>
          <w:tcPr>
            <w:tcW w:type="dxa" w:w="220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Federal &amp; GovCon (prime + agency)</w:t>
            </w:r>
          </w:p>
        </w:tc>
        <w:tc>
          <w:tcPr>
            <w:tcW w:type="dxa" w:w="358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Tier-1 primes needing SDVOSB subcontract credit; VA and defense buyers under Veterans First and CMMC pressure</w:t>
            </w:r>
          </w:p>
        </w:tc>
        <w:tc>
          <w:tcPr>
            <w:tcW w:type="dxa" w:w="358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A certified SDVOSB that can carry real work, not just set-aside math. CenterMarq’s regulated/cyber depth (Rick Watson, CISSP) extends the reach.</w:t>
            </w:r>
          </w:p>
        </w:tc>
      </w:tr>
      <w:tr>
        <w:trPr>
          <w:tblHeader w:val="false"/>
        </w:trPr>
        <w:tc>
          <w:tcPr>
            <w:tcW w:type="dxa" w:w="220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Fortune 500 / 1000 C-suite (transformation buyers)</w:t>
            </w:r>
          </w:p>
        </w:tc>
        <w:tc>
          <w:tcPr>
            <w:tcW w:type="dxa" w:w="35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CHROs, Chief Transformation / AI Officers, COOs whose AI spend is stuck in pilot</w:t>
            </w:r>
          </w:p>
        </w:tc>
        <w:tc>
          <w:tcPr>
            <w:tcW w:type="dxa" w:w="35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M2M closes the gap they already admit — reimagining roles and workflows (Human OS™), not selling more tools.</w:t>
            </w:r>
          </w:p>
        </w:tc>
      </w:tr>
      <w:tr>
        <w:trPr>
          <w:tblHeader w:val="false"/>
        </w:trPr>
        <w:tc>
          <w:tcPr>
            <w:tcW w:type="dxa" w:w="220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Mid-market employers &amp; SMBs</w:t>
            </w:r>
          </w:p>
        </w:tc>
        <w:tc>
          <w:tcPr>
            <w:tcW w:type="dxa" w:w="358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Owner-operators and people leaders at 50–500-person firms facing cost pressure and AI uncertainty</w:t>
            </w:r>
          </w:p>
        </w:tc>
        <w:tc>
          <w:tcPr>
            <w:tcW w:type="dxa" w:w="3580"/>
            <w:tcBorders>
              <w:top w:val="single" w:color="D8D2C2" w:sz="4"/>
              <w:left w:val="single" w:color="D8D2C2" w:sz="4"/>
              <w:bottom w:val="single" w:color="D8D2C2" w:sz="4"/>
              <w:right w:val="single" w:color="D8D2C2" w:sz="4"/>
            </w:tcBorders>
            <w:shd w:fill="F3ECD9"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BRIDGE OS™ gives a clear process, timeline, and implementation path to do more with the team they have — calibrated to their budget, not an enterprise one.</w:t>
            </w:r>
          </w:p>
        </w:tc>
      </w:tr>
      <w:tr>
        <w:trPr>
          <w:tblHeader w:val="false"/>
        </w:trPr>
        <w:tc>
          <w:tcPr>
            <w:tcW w:type="dxa" w:w="220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bCs/>
                <w:color w:val="0B1F3A"/>
                <w:sz w:val="20"/>
                <w:szCs w:val="20"/>
              </w:rPr>
              <w:t xml:space="preserve">Individuals in transition</w:t>
            </w:r>
          </w:p>
        </w:tc>
        <w:tc>
          <w:tcPr>
            <w:tcW w:type="dxa" w:w="35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Professionals in AI-exposed roles (47% report fear of displacement — PwC)</w:t>
            </w:r>
          </w:p>
        </w:tc>
        <w:tc>
          <w:tcPr>
            <w:tcW w:type="dxa" w:w="3580"/>
            <w:tcBorders>
              <w:top w:val="single" w:color="D8D2C2" w:sz="4"/>
              <w:left w:val="single" w:color="D8D2C2" w:sz="4"/>
              <w:bottom w:val="single" w:color="D8D2C2" w:sz="4"/>
              <w:right w:val="single" w:color="D8D2C2" w:sz="4"/>
            </w:tcBorders>
            <w:shd w:fill="FFFFFF" w:val="clear"/>
            <w:tcMar>
              <w:top w:type="dxa" w:w="90"/>
              <w:left w:type="dxa" w:w="130"/>
              <w:bottom w:type="dxa" w:w="90"/>
              <w:right w:type="dxa" w:w="130"/>
            </w:tcMar>
            <w:vAlign w:val="top"/>
          </w:tcPr>
          <w:p>
            <w:pPr>
              <w:spacing w:after="0" w:line="260"/>
            </w:pPr>
            <w:r>
              <w:rPr>
                <w:rFonts w:ascii="Arial" w:cs="Arial" w:eastAsia="Arial" w:hAnsi="Arial"/>
                <w:b w:val="false"/>
                <w:bCs w:val="false"/>
                <w:color w:val="1A1A1A"/>
                <w:sz w:val="20"/>
                <w:szCs w:val="20"/>
              </w:rPr>
              <w:t xml:space="preserve">PIVOT OS™ turns reinvention into a method, not a hope — the human entry point to the same doctrine.</w:t>
            </w:r>
          </w:p>
        </w:tc>
      </w:tr>
    </w:tbl>
    <w:p>
      <w:pPr>
        <w:pStyle w:val="Heading1"/>
        <w:pBdr>
          <w:bottom w:val="single" w:color="B08D2D" w:sz="12" w:space="4"/>
        </w:pBdr>
        <w:spacing w:after="140" w:before="320"/>
      </w:pPr>
      <w:r>
        <w:rPr>
          <w:rFonts w:ascii="Arial" w:cs="Arial" w:eastAsia="Arial" w:hAnsi="Arial"/>
          <w:b/>
          <w:bCs/>
          <w:color w:val="0B1F3A"/>
        </w:rPr>
        <w:t xml:space="preserve">6.  The Three Lanes, Mapped to the Moment</w:t>
      </w:r>
    </w:p>
    <w:p>
      <w:pPr>
        <w:pStyle w:val="Heading2"/>
        <w:spacing w:after="80" w:before="220"/>
      </w:pPr>
      <w:r>
        <w:rPr>
          <w:rFonts w:ascii="Arial" w:cs="Arial" w:eastAsia="Arial" w:hAnsi="Arial"/>
          <w:b/>
          <w:bCs/>
          <w:color w:val="8C6F1F"/>
        </w:rPr>
        <w:t xml:space="preserve">PIVOT OS™ — the individual</w:t>
      </w:r>
    </w:p>
    <w:p>
      <w:pPr>
        <w:spacing w:after="140" w:line="276"/>
        <w:jc w:val="left"/>
      </w:pPr>
      <w:r>
        <w:rPr>
          <w:rFonts w:ascii="Arial" w:cs="Arial" w:eastAsia="Arial" w:hAnsi="Arial"/>
          <w:b w:val="false"/>
          <w:bCs w:val="false"/>
          <w:i w:val="false"/>
          <w:iCs w:val="false"/>
          <w:color w:val="1A1A1A"/>
          <w:sz w:val="22"/>
          <w:szCs w:val="22"/>
        </w:rPr>
        <w:t xml:space="preserve">Demand signal: about 31% of the workforce needs reskilling within three years (IBM); 47% fear displacement (PwC). PIVOT OS™ is the personal operating-system update. It is also the top of the funnel — individuals become advocates inside the employers BRIDGE and Human OS pursue.</w:t>
      </w:r>
    </w:p>
    <w:p>
      <w:pPr>
        <w:pStyle w:val="Heading2"/>
        <w:spacing w:after="80" w:before="220"/>
      </w:pPr>
      <w:r>
        <w:rPr>
          <w:rFonts w:ascii="Arial" w:cs="Arial" w:eastAsia="Arial" w:hAnsi="Arial"/>
          <w:b/>
          <w:bCs/>
          <w:color w:val="8C6F1F"/>
        </w:rPr>
        <w:t xml:space="preserve">BRIDGE OS™ — the employer / SMB</w:t>
      </w:r>
    </w:p>
    <w:p>
      <w:pPr>
        <w:spacing w:after="140" w:line="276"/>
        <w:jc w:val="left"/>
      </w:pPr>
      <w:r>
        <w:rPr>
          <w:rFonts w:ascii="Arial" w:cs="Arial" w:eastAsia="Arial" w:hAnsi="Arial"/>
          <w:b w:val="false"/>
          <w:bCs w:val="false"/>
          <w:i w:val="false"/>
          <w:iCs w:val="false"/>
          <w:color w:val="1A1A1A"/>
          <w:sz w:val="22"/>
          <w:szCs w:val="22"/>
        </w:rPr>
        <w:t xml:space="preserve">Demand signal: mid-market firms feel the macro cost squeeze first and have the least margin for failed AI pilots. BRIDGE OS™ sells the process, timeline, and implementation path to redesign how the existing team works. Calibrate every BRIDGE proposal to cost-out and do-more-with-less, which survives a budget freeze.</w:t>
      </w:r>
    </w:p>
    <w:p>
      <w:pPr>
        <w:pStyle w:val="Heading2"/>
        <w:spacing w:after="80" w:before="220"/>
      </w:pPr>
      <w:r>
        <w:rPr>
          <w:rFonts w:ascii="Arial" w:cs="Arial" w:eastAsia="Arial" w:hAnsi="Arial"/>
          <w:b/>
          <w:bCs/>
          <w:color w:val="8C6F1F"/>
        </w:rPr>
        <w:t xml:space="preserve">Human OS™ — the enterprise / GovCon</w:t>
      </w:r>
    </w:p>
    <w:p>
      <w:pPr>
        <w:spacing w:after="140" w:line="276"/>
        <w:jc w:val="left"/>
      </w:pPr>
      <w:r>
        <w:rPr>
          <w:rFonts w:ascii="Arial" w:cs="Arial" w:eastAsia="Arial" w:hAnsi="Arial"/>
          <w:b w:val="false"/>
          <w:bCs w:val="false"/>
          <w:i w:val="false"/>
          <w:iCs w:val="false"/>
          <w:color w:val="1A1A1A"/>
          <w:sz w:val="22"/>
          <w:szCs w:val="22"/>
        </w:rPr>
        <w:t xml:space="preserve">Demand signal: $407B in enterprise AI spend (IDC) that Deloitte confirms is mostly stuck before the work is redesigned, plus a protected federal channel growing 3% → 5%. Human OS™ is where the OS thesis and the veteran credential combine into one offer no generic consultancy can match.</w:t>
      </w:r>
    </w:p>
    <w:p>
      <w:pPr>
        <w:pStyle w:val="Heading1"/>
        <w:pBdr>
          <w:bottom w:val="single" w:color="B08D2D" w:sz="12" w:space="4"/>
        </w:pBdr>
        <w:spacing w:after="140" w:before="320"/>
      </w:pPr>
      <w:r>
        <w:rPr>
          <w:rFonts w:ascii="Arial" w:cs="Arial" w:eastAsia="Arial" w:hAnsi="Arial"/>
          <w:b/>
          <w:bCs/>
          <w:color w:val="0B1F3A"/>
        </w:rPr>
        <w:t xml:space="preserve">7.  Recommended Moves — This Quarter</w:t>
      </w:r>
    </w:p>
    <w:p>
      <w:pPr>
        <w:pStyle w:val="ListParagraph"/>
        <w:numPr>
          <w:ilvl w:val="0"/>
          <w:numId w:val="3"/>
        </w:numPr>
        <w:spacing w:after="110" w:line="270"/>
      </w:pPr>
      <w:r>
        <w:rPr>
          <w:rFonts w:ascii="Arial" w:cs="Arial" w:eastAsia="Arial" w:hAnsi="Arial"/>
          <w:b/>
          <w:bCs/>
          <w:i w:val="false"/>
          <w:iCs w:val="false"/>
          <w:color w:val="1A1A1A"/>
          <w:sz w:val="22"/>
          <w:szCs w:val="22"/>
        </w:rPr>
        <w:t xml:space="preserve">Reorder the public position. </w:t>
      </w:r>
      <w:r>
        <w:rPr>
          <w:rFonts w:ascii="Arial" w:cs="Arial" w:eastAsia="Arial" w:hAnsi="Arial"/>
          <w:b w:val="false"/>
          <w:bCs w:val="false"/>
          <w:i w:val="false"/>
          <w:iCs w:val="false"/>
          <w:color w:val="1A1A1A"/>
          <w:sz w:val="22"/>
          <w:szCs w:val="22"/>
        </w:rPr>
        <w:t xml:space="preserve">Capability and the OS thesis lead every page; certifications become the trust layer underneath. Update model2message.net, the positioning deck, and the capability statement to match.</w:t>
      </w:r>
    </w:p>
    <w:p>
      <w:pPr>
        <w:pStyle w:val="ListParagraph"/>
        <w:numPr>
          <w:ilvl w:val="0"/>
          <w:numId w:val="3"/>
        </w:numPr>
        <w:spacing w:after="110" w:line="270"/>
      </w:pPr>
      <w:r>
        <w:rPr>
          <w:rFonts w:ascii="Arial" w:cs="Arial" w:eastAsia="Arial" w:hAnsi="Arial"/>
          <w:b/>
          <w:bCs/>
          <w:i w:val="false"/>
          <w:iCs w:val="false"/>
          <w:color w:val="1A1A1A"/>
          <w:sz w:val="22"/>
          <w:szCs w:val="22"/>
        </w:rPr>
        <w:t xml:space="preserve">Retire “diversity supplier” framing; adopt “veteran-certified, de-risked transformation partner.” </w:t>
      </w:r>
      <w:r>
        <w:rPr>
          <w:rFonts w:ascii="Arial" w:cs="Arial" w:eastAsia="Arial" w:hAnsi="Arial"/>
          <w:b w:val="false"/>
          <w:bCs w:val="false"/>
          <w:i w:val="false"/>
          <w:iCs w:val="false"/>
          <w:color w:val="1A1A1A"/>
          <w:sz w:val="22"/>
          <w:szCs w:val="22"/>
        </w:rPr>
        <w:t xml:space="preserve">Same credentials, stronger and more durable buyer question.</w:t>
      </w:r>
    </w:p>
    <w:p>
      <w:pPr>
        <w:pStyle w:val="ListParagraph"/>
        <w:numPr>
          <w:ilvl w:val="0"/>
          <w:numId w:val="3"/>
        </w:numPr>
        <w:spacing w:after="110" w:line="270"/>
      </w:pPr>
      <w:r>
        <w:rPr>
          <w:rFonts w:ascii="Arial" w:cs="Arial" w:eastAsia="Arial" w:hAnsi="Arial"/>
          <w:b/>
          <w:bCs/>
          <w:i w:val="false"/>
          <w:iCs w:val="false"/>
          <w:color w:val="1A1A1A"/>
          <w:sz w:val="22"/>
          <w:szCs w:val="22"/>
        </w:rPr>
        <w:t xml:space="preserve">Pick the first-wave targets. </w:t>
      </w:r>
      <w:r>
        <w:rPr>
          <w:rFonts w:ascii="Arial" w:cs="Arial" w:eastAsia="Arial" w:hAnsi="Arial"/>
          <w:b w:val="false"/>
          <w:bCs w:val="false"/>
          <w:i w:val="false"/>
          <w:iCs w:val="false"/>
          <w:color w:val="1A1A1A"/>
          <w:sz w:val="22"/>
          <w:szCs w:val="22"/>
        </w:rPr>
        <w:t xml:space="preserve">One Fortune-tier prime that kept veteran sourcing, one federal/VA opportunity under Veterans First, one mid-market employer for a BRIDGE proof case. Name them, then build the approach for each.</w:t>
      </w:r>
    </w:p>
    <w:p>
      <w:pPr>
        <w:pStyle w:val="ListParagraph"/>
        <w:numPr>
          <w:ilvl w:val="0"/>
          <w:numId w:val="3"/>
        </w:numPr>
        <w:spacing w:after="110" w:line="270"/>
      </w:pPr>
      <w:r>
        <w:rPr>
          <w:rFonts w:ascii="Arial" w:cs="Arial" w:eastAsia="Arial" w:hAnsi="Arial"/>
          <w:b/>
          <w:bCs/>
          <w:i w:val="false"/>
          <w:iCs w:val="false"/>
          <w:color w:val="1A1A1A"/>
          <w:sz w:val="22"/>
          <w:szCs w:val="22"/>
        </w:rPr>
        <w:t xml:space="preserve">Lead with the gap, not the tool. </w:t>
      </w:r>
      <w:r>
        <w:rPr>
          <w:rFonts w:ascii="Arial" w:cs="Arial" w:eastAsia="Arial" w:hAnsi="Arial"/>
          <w:b w:val="false"/>
          <w:bCs w:val="false"/>
          <w:i w:val="false"/>
          <w:iCs w:val="false"/>
          <w:color w:val="1A1A1A"/>
          <w:sz w:val="22"/>
          <w:szCs w:val="22"/>
        </w:rPr>
        <w:t xml:space="preserve">Every enterprise conversation opens on the stuck-pilot problem and the cost of work that was never redesigned — then names Human OS™ as the fix.</w:t>
      </w:r>
    </w:p>
    <w:p>
      <w:pPr>
        <w:pStyle w:val="ListParagraph"/>
        <w:numPr>
          <w:ilvl w:val="0"/>
          <w:numId w:val="3"/>
        </w:numPr>
        <w:spacing w:after="110" w:line="270"/>
      </w:pPr>
      <w:r>
        <w:rPr>
          <w:rFonts w:ascii="Arial" w:cs="Arial" w:eastAsia="Arial" w:hAnsi="Arial"/>
          <w:b/>
          <w:bCs/>
          <w:i w:val="false"/>
          <w:iCs w:val="false"/>
          <w:color w:val="1A1A1A"/>
          <w:sz w:val="22"/>
          <w:szCs w:val="22"/>
        </w:rPr>
        <w:t xml:space="preserve">Hold the macro frame. </w:t>
      </w:r>
      <w:r>
        <w:rPr>
          <w:rFonts w:ascii="Arial" w:cs="Arial" w:eastAsia="Arial" w:hAnsi="Arial"/>
          <w:b w:val="false"/>
          <w:bCs w:val="false"/>
          <w:i w:val="false"/>
          <w:iCs w:val="false"/>
          <w:color w:val="1A1A1A"/>
          <w:sz w:val="22"/>
          <w:szCs w:val="22"/>
        </w:rPr>
        <w:t xml:space="preserve">Tie the offer to cost discipline and doing more with the existing team. In a 30%-recession-risk climate, that is what stays funded.</w:t>
      </w:r>
    </w:p>
    <w:p>
      <w:pPr>
        <w:pStyle w:val="Heading1"/>
        <w:pBdr>
          <w:bottom w:val="single" w:color="B08D2D" w:sz="12" w:space="4"/>
        </w:pBdr>
        <w:spacing w:after="140" w:before="320"/>
      </w:pPr>
      <w:r>
        <w:rPr>
          <w:rFonts w:ascii="Arial" w:cs="Arial" w:eastAsia="Arial" w:hAnsi="Arial"/>
          <w:b/>
          <w:bCs/>
          <w:color w:val="0B1F3A"/>
        </w:rPr>
        <w:t xml:space="preserve">Sources</w:t>
      </w:r>
    </w:p>
    <w:p>
      <w:pPr>
        <w:spacing w:after="140" w:line="276"/>
        <w:jc w:val="left"/>
      </w:pPr>
      <w:r>
        <w:rPr>
          <w:rFonts w:ascii="Arial" w:cs="Arial" w:eastAsia="Arial" w:hAnsi="Arial"/>
          <w:b w:val="false"/>
          <w:bCs w:val="false"/>
          <w:i w:val="false"/>
          <w:iCs w:val="false"/>
          <w:color w:val="4A4A4A"/>
          <w:sz w:val="18"/>
          <w:szCs w:val="18"/>
        </w:rPr>
        <w:t xml:space="preserve">World Bank, Commodity Markets Outlook (Apr 2026) · IMF, World Economic Outlook “Global Economy in the Shadow of War” (Apr 2026) · OECD Interim Economic Outlook (Mar 2026) · S&amp;P Global Ratings, Global Economic Outlook Q2 2026 · European Commission, Spring 2026 Forecast · Harvard / financial-research analysis on S&amp;P 500 DEI disclosure (2025) · Forbes, Reuters, Fortune, AOL (corporate supplier-diversity reporting, 2025) · U.S. SBA VetCert; USFCR (SDVOSB certification, 2026) · Fed-Spend / FPDS (SDVOSB award data, FY2025–2026) · Congressional Research Service R47226 · IDC Worldwide AI Spending Guide (2026) · McKinsey State of Organizations 2026 · Deloitte State of AI in the Enterprise 2026 · IBM CEO Study 2026 · PwC, WEF workforce data (2026).</w:t>
      </w:r>
    </w:p>
    <w:p>
      <w:pPr>
        <w:spacing w:after="140" w:line="276"/>
        <w:jc w:val="left"/>
      </w:pPr>
      <w:r>
        <w:rPr>
          <w:rFonts w:ascii="Arial" w:cs="Arial" w:eastAsia="Arial" w:hAnsi="Arial"/>
          <w:b w:val="false"/>
          <w:bCs w:val="false"/>
          <w:i/>
          <w:iCs/>
          <w:color w:val="4A4A4A"/>
          <w:sz w:val="18"/>
          <w:szCs w:val="18"/>
        </w:rPr>
        <w:t xml:space="preserve">Figures are reproduced as reported by the named sources as of June 16, 2026. Projections are projections, not guarantees, and are presented as third-party market context.</w:t>
      </w:r>
    </w:p>
    <w:p>
      <w:pPr>
        <w:pBdr>
          <w:top w:val="single" w:color="B08D2D" w:sz="12" w:space="6"/>
        </w:pBdr>
        <w:spacing w:after="0" w:before="280"/>
      </w:pPr>
      <w:r>
        <w:t xml:space="preserve"/>
      </w:r>
    </w:p>
    <w:p>
      <w:pPr>
        <w:spacing w:after="20" w:before="140"/>
      </w:pPr>
      <w:r>
        <w:rPr>
          <w:rFonts w:ascii="Arial" w:cs="Arial" w:eastAsia="Arial" w:hAnsi="Arial"/>
          <w:i/>
          <w:iCs/>
          <w:color w:val="0B1F3A"/>
          <w:sz w:val="20"/>
          <w:szCs w:val="20"/>
        </w:rPr>
        <w:t xml:space="preserve">Fractional Legitimacy / Intentional Intent — authenticated.</w:t>
      </w:r>
    </w:p>
    <w:p>
      <w:pPr>
        <w:spacing w:after="20"/>
      </w:pPr>
      <w:r>
        <w:rPr>
          <w:rFonts w:ascii="Arial" w:cs="Arial" w:eastAsia="Arial" w:hAnsi="Arial"/>
          <w:b/>
          <w:bCs/>
          <w:color w:val="8C6F1F"/>
          <w:sz w:val="22"/>
          <w:szCs w:val="22"/>
        </w:rPr>
        <w:t xml:space="preserve">To the work.</w:t>
      </w:r>
    </w:p>
    <w:p>
      <w:pPr>
        <w:spacing w:after="0"/>
      </w:pPr>
      <w:r>
        <w:rPr>
          <w:rFonts w:ascii="Arial" w:cs="Arial" w:eastAsia="Arial" w:hAnsi="Arial"/>
          <w:color w:val="1A1A1A"/>
          <w:sz w:val="20"/>
          <w:szCs w:val="20"/>
        </w:rPr>
        <w:t xml:space="preserve">— Dr. Kevin A. Smith, Hon. D.H.L.  |  Chief Opportunity Officer  |  M2M~Inc.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2" w:sz="4" w:space="4"/>
      </w:pBdr>
      <w:tabs>
        <w:tab w:val="right" w:pos="9360"/>
      </w:tabs>
      <w:spacing w:before="40"/>
    </w:pPr>
    <w:r>
      <w:rPr>
        <w:rFonts w:ascii="Arial" w:cs="Arial" w:eastAsia="Arial" w:hAnsi="Arial"/>
        <w:color w:val="4A4A4A"/>
        <w:sz w:val="15"/>
        <w:szCs w:val="15"/>
      </w:rPr>
      <w:t xml:space="preserve">Sovereign Architect — Strategy</w:t>
    </w:r>
    <w:r>
      <w:rPr>
        <w:rFonts w:ascii="Arial" w:cs="Arial" w:eastAsia="Arial" w:hAnsi="Arial"/>
      </w:rPr>
      <w:t xml:space="preserve">	</w:t>
    </w:r>
    <w:r>
      <w:rPr>
        <w:rFonts w:ascii="Arial" w:cs="Arial" w:eastAsia="Arial" w:hAnsi="Arial"/>
        <w:color w:val="4A4A4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2D" w:sz="4" w:space="4"/>
      </w:pBdr>
      <w:spacing w:after="0"/>
      <w:jc w:val="right"/>
    </w:pPr>
    <w:r>
      <w:rPr>
        <w:rFonts w:ascii="Arial" w:cs="Arial" w:eastAsia="Arial" w:hAnsi="Arial"/>
        <w:color w:val="0B1F3A"/>
        <w:spacing w:val="20"/>
        <w:sz w:val="16"/>
        <w:szCs w:val="16"/>
      </w:rPr>
      <w:t xml:space="preserve">M2M~INC.  ·  MARKET POSITION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color w:val="8C6F1F"/>
      </w:rPr>
    </w:lvl>
  </w:abstractNum>
  <w:abstractNum w:abstractNumId="3" w15:restartNumberingAfterBreak="0">
    <w:multiLevelType w:val="hybridMultilevel"/>
    <w:lvl w:ilvl="0" w15:tentative="1">
      <w:start w:val="1"/>
      <w:numFmt w:val="decimal"/>
      <w:lvlText w:val="%1."/>
      <w:lvlJc w:val="left"/>
      <w:pPr>
        <w:ind w:left="460" w:hanging="300"/>
      </w:pPr>
      <w:rPr>
        <w:b/>
        <w:bCs/>
        <w:color w:val="0B1F3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1F3A"/>
      <w:sz w:val="30"/>
      <w:szCs w:val="30"/>
    </w:rPr>
  </w:style>
  <w:style w:type="paragraph" w:styleId="Heading2">
    <w:name w:val="Heading 2"/>
    <w:basedOn w:val="Normal"/>
    <w:next w:val="Normal"/>
    <w:qFormat/>
    <w:pPr>
      <w:spacing w:after="80" w:before="200"/>
      <w:outlineLvl w:val="1"/>
    </w:pPr>
    <w:rPr>
      <w:rFonts w:ascii="Arial" w:cs="Arial" w:eastAsia="Arial" w:hAnsi="Arial"/>
      <w:b/>
      <w:bCs/>
      <w:color w:val="8C6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M2M Market Position Brief</dc:title>
  <dc:creator>M2M~Inc.</dc:creator>
  <cp:lastModifiedBy>Un-named</cp:lastModifiedBy>
  <cp:revision>1</cp:revision>
  <dcterms:created xsi:type="dcterms:W3CDTF">2026-06-16T23:13:19.760Z</dcterms:created>
  <dcterms:modified xsi:type="dcterms:W3CDTF">2026-06-16T23:13:19.760Z</dcterms:modified>
</cp:coreProperties>
</file>

<file path=docProps/custom.xml><?xml version="1.0" encoding="utf-8"?>
<Properties xmlns="http://schemas.openxmlformats.org/officeDocument/2006/custom-properties" xmlns:vt="http://schemas.openxmlformats.org/officeDocument/2006/docPropsVTypes"/>
</file>