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pPr>
      <w:r>
        <w:rPr>
          <w:rFonts w:ascii="Arial" w:cs="Arial" w:eastAsia="Arial" w:hAnsi="Arial"/>
          <w:b/>
          <w:bCs/>
          <w:color w:val="8C6F1F"/>
          <w:spacing w:val="36"/>
          <w:sz w:val="18"/>
          <w:szCs w:val="18"/>
        </w:rPr>
        <w:t xml:space="preserve">M2M~INC.  |  MODEL 2 MESSAGE</w:t>
      </w:r>
    </w:p>
    <w:p>
      <w:pPr>
        <w:pBdr>
          <w:bottom w:val="single" w:color="0B1F3A" w:sz="16" w:space="4"/>
        </w:pBdr>
        <w:spacing w:after="56"/>
      </w:pPr>
      <w:r>
        <w:rPr>
          <w:rFonts w:ascii="Arial" w:cs="Arial" w:eastAsia="Arial" w:hAnsi="Arial"/>
          <w:b/>
          <w:bCs/>
          <w:color w:val="0B1F3A"/>
          <w:sz w:val="34"/>
          <w:szCs w:val="34"/>
        </w:rPr>
        <w:t xml:space="preserve">WHEN THE GROUND MOVES</w:t>
      </w:r>
    </w:p>
    <w:p>
      <w:pPr>
        <w:spacing w:after="84"/>
      </w:pPr>
      <w:r>
        <w:rPr>
          <w:rFonts w:ascii="Arial" w:cs="Arial" w:eastAsia="Arial" w:hAnsi="Arial"/>
          <w:i/>
          <w:iCs/>
          <w:color w:val="8C6F1F"/>
          <w:sz w:val="19"/>
          <w:szCs w:val="19"/>
        </w:rPr>
        <w:t xml:space="preserve">A position brief for leaders rebuilding how their organizations perform.</w:t>
      </w:r>
    </w:p>
    <w:p>
      <w:pPr>
        <w:spacing w:after="70"/>
      </w:pPr>
      <w:r>
        <w:rPr>
          <w:rFonts w:ascii="Arial" w:cs="Arial" w:eastAsia="Arial" w:hAnsi="Arial"/>
          <w:b/>
          <w:bCs/>
          <w:color w:val="0B1F3A"/>
          <w:sz w:val="25"/>
          <w:szCs w:val="25"/>
        </w:rPr>
        <w:t xml:space="preserve">The ground moved under everyone.</w:t>
      </w:r>
    </w:p>
    <w:p>
      <w:pPr>
        <w:spacing w:after="84" w:line="238"/>
      </w:pPr>
      <w:r>
        <w:rPr>
          <w:rFonts w:ascii="Arial" w:cs="Arial" w:eastAsia="Arial" w:hAnsi="Arial"/>
          <w:b w:val="false"/>
          <w:bCs w:val="false"/>
          <w:i w:val="false"/>
          <w:iCs w:val="false"/>
          <w:color w:val="1A1A1A"/>
          <w:sz w:val="20"/>
          <w:szCs w:val="20"/>
        </w:rPr>
        <w:t xml:space="preserve">Living one shock away from trouble used to be a low-income story. It isn’t anymore — the squeeze now reaches the six-figure household and the corner office alike. The reason is structural: the economy stopped paying for what you already know and started paying for how fast you can relearn. That isn’t a budget problem or a hiring problem. It’s a literacy problem — and in this economy, literacy is survival.</w:t>
      </w:r>
    </w:p>
    <w:p>
      <w:pPr>
        <w:spacing w:after="84" w:line="238"/>
      </w:pPr>
      <w:r>
        <w:rPr>
          <w:rFonts w:ascii="Arial" w:cs="Arial" w:eastAsia="Arial" w:hAnsi="Arial"/>
          <w:b w:val="false"/>
          <w:bCs w:val="false"/>
          <w:i w:val="false"/>
          <w:iCs w:val="false"/>
          <w:color w:val="1A1A1A"/>
          <w:sz w:val="20"/>
          <w:szCs w:val="20"/>
        </w:rPr>
        <w:t xml:space="preserve">For an organization, that literacy has a name. The operating system: how work flows, how people are deployed, how decisions get made. When the ground moves, the organizations that endure aren’t the ones with the most tools or the biggest headcount. They’re the ones that can update the system while it’s still running.</w:t>
      </w:r>
    </w:p>
    <w:p>
      <w:pPr>
        <w:spacing w:after="84" w:line="238"/>
      </w:pPr>
      <w:r>
        <w:rPr>
          <w:rFonts w:ascii="Arial" w:cs="Arial" w:eastAsia="Arial" w:hAnsi="Arial"/>
          <w:b w:val="false"/>
          <w:bCs w:val="false"/>
          <w:i w:val="false"/>
          <w:iCs w:val="false"/>
          <w:color w:val="1A1A1A"/>
          <w:sz w:val="20"/>
          <w:szCs w:val="20"/>
        </w:rPr>
        <w:t xml:space="preserve">This brief is about that update — what’s forcing it, and how M2M helps you carry it: as an operating-system firm for human and organizational performance, and a certified veteran-owned partner (SDVOSB + VBE) whose credentials lower your procurement risk while the work rebuilds how your organization performs.</w:t>
      </w:r>
    </w:p>
    <w:p>
      <w:pPr>
        <w:spacing w:after="40" w:before="14"/>
      </w:pPr>
      <w:r>
        <w:rPr>
          <w:rFonts w:ascii="Arial" w:cs="Arial" w:eastAsia="Arial" w:hAnsi="Arial"/>
          <w:b/>
          <w:bCs/>
          <w:color w:val="8C6F1F"/>
          <w:spacing w:val="28"/>
          <w:sz w:val="18"/>
          <w:szCs w:val="18"/>
        </w:rPr>
        <w:t xml:space="preserve">THE FORCES MOVING YOUR MARKET</w:t>
      </w:r>
    </w:p>
    <w:p>
      <w:pPr>
        <w:pStyle w:val="ListParagraph"/>
        <w:numPr>
          <w:ilvl w:val="0"/>
          <w:numId w:val="2"/>
        </w:numPr>
        <w:spacing w:after="50" w:line="236"/>
      </w:pPr>
      <w:r>
        <w:rPr>
          <w:rFonts w:ascii="Arial" w:cs="Arial" w:eastAsia="Arial" w:hAnsi="Arial"/>
          <w:b/>
          <w:bCs/>
          <w:i w:val="false"/>
          <w:iCs w:val="false"/>
          <w:color w:val="1A1A1A"/>
          <w:sz w:val="20"/>
          <w:szCs w:val="20"/>
        </w:rPr>
        <w:t xml:space="preserve">Cost pressure is the new opener. </w:t>
      </w:r>
      <w:r>
        <w:rPr>
          <w:rFonts w:ascii="Arial" w:cs="Arial" w:eastAsia="Arial" w:hAnsi="Arial"/>
          <w:b w:val="false"/>
          <w:bCs w:val="false"/>
          <w:i w:val="false"/>
          <w:iCs w:val="false"/>
          <w:color w:val="1A1A1A"/>
          <w:sz w:val="20"/>
          <w:szCs w:val="20"/>
        </w:rPr>
        <w:t xml:space="preserve">A Middle East energy shock pushes 2026 energy prices up ~24% and commodities ~16% (World Bank); S&amp;P Global sees U.S. growth near 2.2% and ~30% recession risk. Hiring your way out is off the table.</w:t>
      </w:r>
    </w:p>
    <w:p>
      <w:pPr>
        <w:pStyle w:val="ListParagraph"/>
        <w:numPr>
          <w:ilvl w:val="0"/>
          <w:numId w:val="2"/>
        </w:numPr>
        <w:spacing w:after="50" w:line="236"/>
      </w:pPr>
      <w:r>
        <w:rPr>
          <w:rFonts w:ascii="Arial" w:cs="Arial" w:eastAsia="Arial" w:hAnsi="Arial"/>
          <w:b/>
          <w:bCs/>
          <w:i w:val="false"/>
          <w:iCs w:val="false"/>
          <w:color w:val="1A1A1A"/>
          <w:sz w:val="20"/>
          <w:szCs w:val="20"/>
        </w:rPr>
        <w:t xml:space="preserve">AI spend is large — and stuck. </w:t>
      </w:r>
      <w:r>
        <w:rPr>
          <w:rFonts w:ascii="Arial" w:cs="Arial" w:eastAsia="Arial" w:hAnsi="Arial"/>
          <w:b w:val="false"/>
          <w:bCs w:val="false"/>
          <w:i w:val="false"/>
          <w:iCs w:val="false"/>
          <w:color w:val="1A1A1A"/>
          <w:sz w:val="20"/>
          <w:szCs w:val="20"/>
        </w:rPr>
        <w:t xml:space="preserve">Enterprise AI spend reaches ~$407B in 2026, up ~35% (IDC). Yet Deloitte finds most organizations buy tools while few redesign the work, and only the redesigners capture value.</w:t>
      </w:r>
    </w:p>
    <w:p>
      <w:pPr>
        <w:pStyle w:val="ListParagraph"/>
        <w:numPr>
          <w:ilvl w:val="0"/>
          <w:numId w:val="2"/>
        </w:numPr>
        <w:spacing w:after="50" w:line="236"/>
      </w:pPr>
      <w:r>
        <w:rPr>
          <w:rFonts w:ascii="Arial" w:cs="Arial" w:eastAsia="Arial" w:hAnsi="Arial"/>
          <w:b/>
          <w:bCs/>
          <w:i w:val="false"/>
          <w:iCs w:val="false"/>
          <w:color w:val="1A1A1A"/>
          <w:sz w:val="20"/>
          <w:szCs w:val="20"/>
        </w:rPr>
        <w:t xml:space="preserve">The certification landscape split. </w:t>
      </w:r>
      <w:r>
        <w:rPr>
          <w:rFonts w:ascii="Arial" w:cs="Arial" w:eastAsia="Arial" w:hAnsi="Arial"/>
          <w:b w:val="false"/>
          <w:bCs w:val="false"/>
          <w:i w:val="false"/>
          <w:iCs w:val="false"/>
          <w:color w:val="1A1A1A"/>
          <w:sz w:val="20"/>
          <w:szCs w:val="20"/>
        </w:rPr>
        <w:t xml:space="preserve">200+ S&amp;P 500 firms cut diversity language from 2025 filings (~70% drop), but the veteran channel is protected and growing — now the lever, not the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2"/>
              <w:left w:val="single" w:color="B08D2D" w:sz="20"/>
              <w:bottom w:val="single" w:color="0B1F3A" w:sz="2"/>
              <w:right w:val="single" w:color="0B1F3A" w:sz="2"/>
            </w:tcBorders>
            <w:shd w:fill="0B1F3A" w:val="clear"/>
            <w:tcMar>
              <w:top w:type="dxa" w:w="90"/>
              <w:left w:type="dxa" w:w="160"/>
              <w:bottom w:type="dxa" w:w="90"/>
              <w:right w:type="dxa" w:w="160"/>
            </w:tcMar>
          </w:tcPr>
          <w:p>
            <w:pPr>
              <w:spacing w:after="0" w:line="248"/>
            </w:pPr>
            <w:r>
              <w:rPr>
                <w:rFonts w:ascii="Arial" w:cs="Arial" w:eastAsia="Arial" w:hAnsi="Arial"/>
                <w:b/>
                <w:bCs/>
                <w:color w:val="F3ECD9"/>
                <w:spacing w:val="22"/>
                <w:sz w:val="16"/>
                <w:szCs w:val="16"/>
              </w:rPr>
              <w:t xml:space="preserve">WHY THE CREDENTIAL DE-RISKS YOUR BUY   </w:t>
            </w:r>
            <w:r>
              <w:rPr>
                <w:rFonts w:ascii="Arial" w:cs="Arial" w:eastAsia="Arial" w:hAnsi="Arial"/>
                <w:b/>
                <w:bCs/>
                <w:i w:val="false"/>
                <w:iCs w:val="false"/>
                <w:color w:val="FFFFFF"/>
                <w:sz w:val="20"/>
                <w:szCs w:val="20"/>
              </w:rPr>
              <w:t xml:space="preserve">Federal — </w:t>
            </w:r>
            <w:r>
              <w:rPr>
                <w:rFonts w:ascii="Arial" w:cs="Arial" w:eastAsia="Arial" w:hAnsi="Arial"/>
                <w:b w:val="false"/>
                <w:bCs w:val="false"/>
                <w:i w:val="false"/>
                <w:iCs w:val="false"/>
                <w:color w:val="FFFFFF"/>
                <w:sz w:val="20"/>
                <w:szCs w:val="20"/>
              </w:rPr>
              <w:t xml:space="preserve">a certified SDVOSB earns set-aside credit and Veterans First priority, a protected channel growing from a 3% to a 5% goal ($28.6B awarded in FY2025).  </w:t>
            </w:r>
            <w:r>
              <w:rPr>
                <w:rFonts w:ascii="Arial" w:cs="Arial" w:eastAsia="Arial" w:hAnsi="Arial"/>
                <w:b/>
                <w:bCs/>
                <w:i w:val="false"/>
                <w:iCs w:val="false"/>
                <w:color w:val="FFFFFF"/>
                <w:sz w:val="20"/>
                <w:szCs w:val="20"/>
              </w:rPr>
              <w:t xml:space="preserve">Commercial — </w:t>
            </w:r>
            <w:r>
              <w:rPr>
                <w:rFonts w:ascii="Arial" w:cs="Arial" w:eastAsia="Arial" w:hAnsi="Arial"/>
                <w:b w:val="false"/>
                <w:bCs w:val="false"/>
                <w:i w:val="false"/>
                <w:iCs w:val="false"/>
                <w:color w:val="FFFFFF"/>
                <w:sz w:val="20"/>
                <w:szCs w:val="20"/>
              </w:rPr>
              <w:t xml:space="preserve">Tier-1 subcontract-goal credit and audit-defensible sourcing that carries none of the legal exposure now attached to race- or gender-based programs.</w:t>
            </w:r>
          </w:p>
        </w:tc>
      </w:tr>
    </w:tbl>
    <w:p>
      <w:pPr>
        <w:spacing w:after="40" w:before="14"/>
      </w:pPr>
      <w:r>
        <w:rPr>
          <w:rFonts w:ascii="Arial" w:cs="Arial" w:eastAsia="Arial" w:hAnsi="Arial"/>
          <w:b/>
          <w:bCs/>
          <w:color w:val="8C6F1F"/>
          <w:spacing w:val="28"/>
          <w:sz w:val="18"/>
          <w:szCs w:val="18"/>
        </w:rPr>
        <w:t xml:space="preserve">WHAT YOU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900"/>
        <w:gridCol w:w="3410"/>
      </w:tblGrid>
      <w:tr>
        <w:trPr>
          <w:tblHeader/>
        </w:trPr>
        <w:tc>
          <w:tcPr>
            <w:tcW w:type="dxa" w:w="2050"/>
            <w:tcBorders>
              <w:top w:val="single" w:color="D8D2C2" w:sz="4"/>
              <w:left w:val="single" w:color="D8D2C2" w:sz="4"/>
              <w:bottom w:val="single" w:color="D8D2C2" w:sz="4"/>
              <w:right w:val="single" w:color="D8D2C2" w:sz="4"/>
            </w:tcBorders>
            <w:shd w:fill="0B1F3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Lane</w:t>
            </w:r>
          </w:p>
        </w:tc>
        <w:tc>
          <w:tcPr>
            <w:tcW w:type="dxa" w:w="3900"/>
            <w:tcBorders>
              <w:top w:val="single" w:color="D8D2C2" w:sz="4"/>
              <w:left w:val="single" w:color="D8D2C2" w:sz="4"/>
              <w:bottom w:val="single" w:color="D8D2C2" w:sz="4"/>
              <w:right w:val="single" w:color="D8D2C2" w:sz="4"/>
            </w:tcBorders>
            <w:shd w:fill="0B1F3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What it is</w:t>
            </w:r>
          </w:p>
        </w:tc>
        <w:tc>
          <w:tcPr>
            <w:tcW w:type="dxa" w:w="3410"/>
            <w:tcBorders>
              <w:top w:val="single" w:color="D8D2C2" w:sz="4"/>
              <w:left w:val="single" w:color="D8D2C2" w:sz="4"/>
              <w:bottom w:val="single" w:color="D8D2C2" w:sz="4"/>
              <w:right w:val="single" w:color="D8D2C2" w:sz="4"/>
            </w:tcBorders>
            <w:shd w:fill="0B1F3A"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What you leave with</w:t>
            </w:r>
          </w:p>
        </w:tc>
      </w:tr>
      <w:tr>
        <w:trPr>
          <w:tblHeader w:val="false"/>
        </w:trPr>
        <w:tc>
          <w:tcPr>
            <w:tcW w:type="dxa" w:w="2050"/>
            <w:tcBorders>
              <w:top w:val="single" w:color="D8D2C2" w:sz="4"/>
              <w:left w:val="single" w:color="D8D2C2" w:sz="4"/>
              <w:bottom w:val="single" w:color="D8D2C2" w:sz="4"/>
              <w:right w:val="single" w:color="D8D2C2" w:sz="4"/>
            </w:tcBorders>
            <w:shd w:fill="FFFFFF" w:val="clear"/>
            <w:tcMar>
              <w:top w:type="dxa" w:w="80"/>
              <w:left w:type="dxa" w:w="120"/>
              <w:bottom w:type="dxa" w:w="80"/>
              <w:right w:type="dxa" w:w="120"/>
            </w:tcMar>
            <w:vAlign w:val="top"/>
          </w:tcPr>
          <w:p>
            <w:pPr>
              <w:spacing w:after="0" w:line="248"/>
            </w:pPr>
            <w:r>
              <w:rPr>
                <w:rFonts w:ascii="Arial" w:cs="Arial" w:eastAsia="Arial" w:hAnsi="Arial"/>
                <w:b/>
                <w:bCs/>
                <w:color w:val="0B1F3A"/>
                <w:sz w:val="19"/>
                <w:szCs w:val="19"/>
              </w:rPr>
              <w:t xml:space="preserve">Human OS™  (enterprise / GovCon)</w:t>
            </w:r>
          </w:p>
        </w:tc>
        <w:tc>
          <w:tcPr>
            <w:tcW w:type="dxa" w:w="3900"/>
            <w:tcBorders>
              <w:top w:val="single" w:color="D8D2C2" w:sz="4"/>
              <w:left w:val="single" w:color="D8D2C2" w:sz="4"/>
              <w:bottom w:val="single" w:color="D8D2C2" w:sz="4"/>
              <w:right w:val="single" w:color="D8D2C2" w:sz="4"/>
            </w:tcBorders>
            <w:shd w:fill="FFFFFF" w:val="clear"/>
            <w:tcMar>
              <w:top w:type="dxa" w:w="80"/>
              <w:left w:type="dxa" w:w="120"/>
              <w:bottom w:type="dxa" w:w="80"/>
              <w:right w:type="dxa" w:w="120"/>
            </w:tcMar>
            <w:vAlign w:val="top"/>
          </w:tcPr>
          <w:p>
            <w:pPr>
              <w:spacing w:after="0" w:line="248"/>
            </w:pPr>
            <w:r>
              <w:rPr>
                <w:rFonts w:ascii="Arial" w:cs="Arial" w:eastAsia="Arial" w:hAnsi="Arial"/>
                <w:b w:val="false"/>
                <w:bCs w:val="false"/>
                <w:color w:val="1A1A1A"/>
                <w:sz w:val="19"/>
                <w:szCs w:val="19"/>
              </w:rPr>
              <w:t xml:space="preserve">A diagnostic of how work actually flows, a redesign of your highest-cost functions, and a measured rollout.</w:t>
            </w:r>
          </w:p>
        </w:tc>
        <w:tc>
          <w:tcPr>
            <w:tcW w:type="dxa" w:w="3410"/>
            <w:tcBorders>
              <w:top w:val="single" w:color="D8D2C2" w:sz="4"/>
              <w:left w:val="single" w:color="D8D2C2" w:sz="4"/>
              <w:bottom w:val="single" w:color="D8D2C2" w:sz="4"/>
              <w:right w:val="single" w:color="D8D2C2" w:sz="4"/>
            </w:tcBorders>
            <w:shd w:fill="FFFFFF" w:val="clear"/>
            <w:tcMar>
              <w:top w:type="dxa" w:w="80"/>
              <w:left w:type="dxa" w:w="120"/>
              <w:bottom w:type="dxa" w:w="80"/>
              <w:right w:type="dxa" w:w="120"/>
            </w:tcMar>
            <w:vAlign w:val="top"/>
          </w:tcPr>
          <w:p>
            <w:pPr>
              <w:spacing w:after="0" w:line="248"/>
            </w:pPr>
            <w:r>
              <w:rPr>
                <w:rFonts w:ascii="Arial" w:cs="Arial" w:eastAsia="Arial" w:hAnsi="Arial"/>
                <w:b w:val="false"/>
                <w:bCs w:val="false"/>
                <w:color w:val="1A1A1A"/>
                <w:sz w:val="19"/>
                <w:szCs w:val="19"/>
              </w:rPr>
              <w:t xml:space="preserve">A decision-ready transformation roadmap with named outcomes and a delivery plan.</w:t>
            </w:r>
          </w:p>
        </w:tc>
      </w:tr>
      <w:tr>
        <w:trPr>
          <w:tblHeader w:val="false"/>
        </w:trPr>
        <w:tc>
          <w:tcPr>
            <w:tcW w:type="dxa" w:w="2050"/>
            <w:tcBorders>
              <w:top w:val="single" w:color="D8D2C2" w:sz="4"/>
              <w:left w:val="single" w:color="D8D2C2" w:sz="4"/>
              <w:bottom w:val="single" w:color="D8D2C2" w:sz="4"/>
              <w:right w:val="single" w:color="D8D2C2" w:sz="4"/>
            </w:tcBorders>
            <w:shd w:fill="F3ECD9" w:val="clear"/>
            <w:tcMar>
              <w:top w:type="dxa" w:w="80"/>
              <w:left w:type="dxa" w:w="120"/>
              <w:bottom w:type="dxa" w:w="80"/>
              <w:right w:type="dxa" w:w="120"/>
            </w:tcMar>
            <w:vAlign w:val="top"/>
          </w:tcPr>
          <w:p>
            <w:pPr>
              <w:spacing w:after="0" w:line="248"/>
            </w:pPr>
            <w:r>
              <w:rPr>
                <w:rFonts w:ascii="Arial" w:cs="Arial" w:eastAsia="Arial" w:hAnsi="Arial"/>
                <w:b/>
                <w:bCs/>
                <w:color w:val="0B1F3A"/>
                <w:sz w:val="19"/>
                <w:szCs w:val="19"/>
              </w:rPr>
              <w:t xml:space="preserve">BRIDGE OS™  (employer / SMB)</w:t>
            </w:r>
          </w:p>
        </w:tc>
        <w:tc>
          <w:tcPr>
            <w:tcW w:type="dxa" w:w="3900"/>
            <w:tcBorders>
              <w:top w:val="single" w:color="D8D2C2" w:sz="4"/>
              <w:left w:val="single" w:color="D8D2C2" w:sz="4"/>
              <w:bottom w:val="single" w:color="D8D2C2" w:sz="4"/>
              <w:right w:val="single" w:color="D8D2C2" w:sz="4"/>
            </w:tcBorders>
            <w:shd w:fill="F3ECD9" w:val="clear"/>
            <w:tcMar>
              <w:top w:type="dxa" w:w="80"/>
              <w:left w:type="dxa" w:w="120"/>
              <w:bottom w:type="dxa" w:w="80"/>
              <w:right w:type="dxa" w:w="120"/>
            </w:tcMar>
            <w:vAlign w:val="top"/>
          </w:tcPr>
          <w:p>
            <w:pPr>
              <w:spacing w:after="0" w:line="248"/>
            </w:pPr>
            <w:r>
              <w:rPr>
                <w:rFonts w:ascii="Arial" w:cs="Arial" w:eastAsia="Arial" w:hAnsi="Arial"/>
                <w:b w:val="false"/>
                <w:bCs w:val="false"/>
                <w:color w:val="1A1A1A"/>
                <w:sz w:val="19"/>
                <w:szCs w:val="19"/>
              </w:rPr>
              <w:t xml:space="preserve">A fixed-scope plan to do more with the team you have — process redesign plus the automation to support it.</w:t>
            </w:r>
          </w:p>
        </w:tc>
        <w:tc>
          <w:tcPr>
            <w:tcW w:type="dxa" w:w="3410"/>
            <w:tcBorders>
              <w:top w:val="single" w:color="D8D2C2" w:sz="4"/>
              <w:left w:val="single" w:color="D8D2C2" w:sz="4"/>
              <w:bottom w:val="single" w:color="D8D2C2" w:sz="4"/>
              <w:right w:val="single" w:color="D8D2C2" w:sz="4"/>
            </w:tcBorders>
            <w:shd w:fill="F3ECD9" w:val="clear"/>
            <w:tcMar>
              <w:top w:type="dxa" w:w="80"/>
              <w:left w:type="dxa" w:w="120"/>
              <w:bottom w:type="dxa" w:w="80"/>
              <w:right w:type="dxa" w:w="120"/>
            </w:tcMar>
            <w:vAlign w:val="top"/>
          </w:tcPr>
          <w:p>
            <w:pPr>
              <w:spacing w:after="0" w:line="248"/>
            </w:pPr>
            <w:r>
              <w:rPr>
                <w:rFonts w:ascii="Arial" w:cs="Arial" w:eastAsia="Arial" w:hAnsi="Arial"/>
                <w:b w:val="false"/>
                <w:bCs w:val="false"/>
                <w:color w:val="1A1A1A"/>
                <w:sz w:val="19"/>
                <w:szCs w:val="19"/>
              </w:rPr>
              <w:t xml:space="preserve">An implementation path with timeline, owners, and cost-out targets.</w:t>
            </w:r>
          </w:p>
        </w:tc>
      </w:tr>
      <w:tr>
        <w:trPr>
          <w:tblHeader w:val="false"/>
        </w:trPr>
        <w:tc>
          <w:tcPr>
            <w:tcW w:type="dxa" w:w="2050"/>
            <w:tcBorders>
              <w:top w:val="single" w:color="D8D2C2" w:sz="4"/>
              <w:left w:val="single" w:color="D8D2C2" w:sz="4"/>
              <w:bottom w:val="single" w:color="D8D2C2" w:sz="4"/>
              <w:right w:val="single" w:color="D8D2C2" w:sz="4"/>
            </w:tcBorders>
            <w:shd w:fill="FFFFFF" w:val="clear"/>
            <w:tcMar>
              <w:top w:type="dxa" w:w="80"/>
              <w:left w:type="dxa" w:w="120"/>
              <w:bottom w:type="dxa" w:w="80"/>
              <w:right w:type="dxa" w:w="120"/>
            </w:tcMar>
            <w:vAlign w:val="top"/>
          </w:tcPr>
          <w:p>
            <w:pPr>
              <w:spacing w:after="0" w:line="248"/>
            </w:pPr>
            <w:r>
              <w:rPr>
                <w:rFonts w:ascii="Arial" w:cs="Arial" w:eastAsia="Arial" w:hAnsi="Arial"/>
                <w:b/>
                <w:bCs/>
                <w:color w:val="0B1F3A"/>
                <w:sz w:val="19"/>
                <w:szCs w:val="19"/>
              </w:rPr>
              <w:t xml:space="preserve">PIVOT OS™  (leaders / key people)</w:t>
            </w:r>
          </w:p>
        </w:tc>
        <w:tc>
          <w:tcPr>
            <w:tcW w:type="dxa" w:w="3900"/>
            <w:tcBorders>
              <w:top w:val="single" w:color="D8D2C2" w:sz="4"/>
              <w:left w:val="single" w:color="D8D2C2" w:sz="4"/>
              <w:bottom w:val="single" w:color="D8D2C2" w:sz="4"/>
              <w:right w:val="single" w:color="D8D2C2" w:sz="4"/>
            </w:tcBorders>
            <w:shd w:fill="FFFFFF" w:val="clear"/>
            <w:tcMar>
              <w:top w:type="dxa" w:w="80"/>
              <w:left w:type="dxa" w:w="120"/>
              <w:bottom w:type="dxa" w:w="80"/>
              <w:right w:type="dxa" w:w="120"/>
            </w:tcMar>
            <w:vAlign w:val="top"/>
          </w:tcPr>
          <w:p>
            <w:pPr>
              <w:spacing w:after="0" w:line="248"/>
            </w:pPr>
            <w:r>
              <w:rPr>
                <w:rFonts w:ascii="Arial" w:cs="Arial" w:eastAsia="Arial" w:hAnsi="Arial"/>
                <w:b w:val="false"/>
                <w:bCs w:val="false"/>
                <w:color w:val="1A1A1A"/>
                <w:sz w:val="19"/>
                <w:szCs w:val="19"/>
              </w:rPr>
              <w:t xml:space="preserve">Reinvention as a method for the people navigating AI-exposed roles inside your organization.</w:t>
            </w:r>
          </w:p>
        </w:tc>
        <w:tc>
          <w:tcPr>
            <w:tcW w:type="dxa" w:w="3410"/>
            <w:tcBorders>
              <w:top w:val="single" w:color="D8D2C2" w:sz="4"/>
              <w:left w:val="single" w:color="D8D2C2" w:sz="4"/>
              <w:bottom w:val="single" w:color="D8D2C2" w:sz="4"/>
              <w:right w:val="single" w:color="D8D2C2" w:sz="4"/>
            </w:tcBorders>
            <w:shd w:fill="FFFFFF" w:val="clear"/>
            <w:tcMar>
              <w:top w:type="dxa" w:w="80"/>
              <w:left w:type="dxa" w:w="120"/>
              <w:bottom w:type="dxa" w:w="80"/>
              <w:right w:type="dxa" w:w="120"/>
            </w:tcMar>
            <w:vAlign w:val="top"/>
          </w:tcPr>
          <w:p>
            <w:pPr>
              <w:spacing w:after="0" w:line="248"/>
            </w:pPr>
            <w:r>
              <w:rPr>
                <w:rFonts w:ascii="Arial" w:cs="Arial" w:eastAsia="Arial" w:hAnsi="Arial"/>
                <w:b w:val="false"/>
                <w:bCs w:val="false"/>
                <w:color w:val="1A1A1A"/>
                <w:sz w:val="19"/>
                <w:szCs w:val="19"/>
              </w:rPr>
              <w:t xml:space="preserve">A personal operating plan and the capability to execute it.</w:t>
            </w:r>
          </w:p>
        </w:tc>
      </w:tr>
    </w:tbl>
    <w:p>
      <w:pPr>
        <w:spacing w:after="0" w:before="60" w:line="244"/>
      </w:pPr>
      <w:r>
        <w:rPr>
          <w:rFonts w:ascii="Arial" w:cs="Arial" w:eastAsia="Arial" w:hAnsi="Arial"/>
          <w:b/>
          <w:bCs/>
          <w:color w:val="8C6F1F"/>
          <w:spacing w:val="22"/>
          <w:sz w:val="16"/>
          <w:szCs w:val="16"/>
        </w:rPr>
        <w:t xml:space="preserve">PROOF   </w:t>
      </w:r>
      <w:r>
        <w:rPr>
          <w:rFonts w:ascii="Arial" w:cs="Arial" w:eastAsia="Arial" w:hAnsi="Arial"/>
          <w:b w:val="false"/>
          <w:bCs w:val="false"/>
          <w:i w:val="false"/>
          <w:iCs w:val="false"/>
          <w:color w:val="1A1A1A"/>
          <w:sz w:val="19"/>
          <w:szCs w:val="19"/>
        </w:rPr>
        <w:t xml:space="preserve">The operating system is not a slide. M2M runs a live delivery stack — automation, governance, and measurement you can audit before you commit.</w:t>
      </w:r>
    </w:p>
    <w:p>
      <w:pPr>
        <w:spacing w:before="5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2D" w:sz="2"/>
              <w:left w:val="single" w:color="8C6F1F" w:sz="20"/>
              <w:bottom w:val="single" w:color="B08D2D" w:sz="2"/>
              <w:right w:val="single" w:color="B08D2D" w:sz="2"/>
            </w:tcBorders>
            <w:shd w:fill="F3ECD9" w:val="clear"/>
            <w:tcMar>
              <w:top w:type="dxa" w:w="90"/>
              <w:left w:type="dxa" w:w="160"/>
              <w:bottom w:type="dxa" w:w="90"/>
              <w:right w:type="dxa" w:w="160"/>
            </w:tcMar>
          </w:tcPr>
          <w:p>
            <w:pPr>
              <w:spacing w:after="0" w:line="248"/>
            </w:pPr>
            <w:r>
              <w:rPr>
                <w:rFonts w:ascii="Arial" w:cs="Arial" w:eastAsia="Arial" w:hAnsi="Arial"/>
                <w:b/>
                <w:bCs/>
                <w:color w:val="0B1F3A"/>
                <w:spacing w:val="22"/>
                <w:sz w:val="16"/>
                <w:szCs w:val="16"/>
              </w:rPr>
              <w:t xml:space="preserve">THE NEXT STEP   </w:t>
            </w:r>
            <w:r>
              <w:rPr>
                <w:rFonts w:ascii="Arial" w:cs="Arial" w:eastAsia="Arial" w:hAnsi="Arial"/>
                <w:b w:val="false"/>
                <w:bCs w:val="false"/>
                <w:i w:val="false"/>
                <w:iCs w:val="false"/>
                <w:color w:val="1A1A1A"/>
                <w:sz w:val="20"/>
                <w:szCs w:val="20"/>
              </w:rPr>
              <w:t xml:space="preserve">Start with a 90-day Human OS™ diagnostic on one function: fixed scope, one measured outcome, a decision-ready roadmap at the end. One 20-minute call to scope it.</w:t>
            </w:r>
          </w:p>
        </w:tc>
      </w:tr>
    </w:tbl>
    <w:sectPr>
      <w:footerReference w:type="default" r:id="rId7"/>
      <w:pgSz w:w="12240" w:h="15840" w:orient="portrait"/>
      <w:pgMar w:top="1008"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2" w:sz="4" w:space="3"/>
      </w:pBdr>
      <w:tabs>
        <w:tab w:val="right" w:pos="9360"/>
      </w:tabs>
      <w:spacing w:before="30"/>
    </w:pPr>
    <w:r>
      <w:rPr>
        <w:rFonts w:ascii="Arial" w:cs="Arial" w:eastAsia="Arial" w:hAnsi="Arial"/>
        <w:color w:val="4A4A4A"/>
        <w:sz w:val="14"/>
        <w:szCs w:val="14"/>
      </w:rPr>
      <w:t xml:space="preserve">Dr. Kevin A. Smith  ·  Chief Opportunity Officer  ·  M2M~Inc.</w:t>
    </w:r>
    <w:r>
      <w:rPr>
        <w:rFonts w:ascii="Arial" w:cs="Arial" w:eastAsia="Arial" w:hAnsi="Arial"/>
      </w:rPr>
      <w:t xml:space="preserve">	</w:t>
    </w:r>
    <w:r>
      <w:rPr>
        <w:rFonts w:ascii="Arial" w:cs="Arial" w:eastAsia="Arial" w:hAnsi="Arial"/>
        <w:b/>
        <w:bCs/>
        <w:color w:val="0B1F3A"/>
        <w:sz w:val="14"/>
        <w:szCs w:val="14"/>
      </w:rPr>
      <w:t xml:space="preserve">model2message.net  ·  Book a 20-minute scoping call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8C6F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M2M — When the Ground Moves (Client Brief)</dc:title>
  <dc:creator>M2M~Inc.</dc:creator>
  <cp:lastModifiedBy>Un-named</cp:lastModifiedBy>
  <cp:revision>1</cp:revision>
  <dcterms:created xsi:type="dcterms:W3CDTF">2026-06-16T23:21:07.884Z</dcterms:created>
  <dcterms:modified xsi:type="dcterms:W3CDTF">2026-06-16T23:21:07.885Z</dcterms:modified>
</cp:coreProperties>
</file>

<file path=docProps/custom.xml><?xml version="1.0" encoding="utf-8"?>
<Properties xmlns="http://schemas.openxmlformats.org/officeDocument/2006/custom-properties" xmlns:vt="http://schemas.openxmlformats.org/officeDocument/2006/docPropsVTypes"/>
</file>