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/>
      </w:pPr>
      <w:r>
        <w:rPr>
          <w:rFonts w:ascii="Arial" w:cs="Arial" w:eastAsia="Arial" w:hAnsi="Arial"/>
          <w:b/>
          <w:bCs/>
          <w:color w:val="8C6F1F"/>
          <w:spacing w:val="36"/>
          <w:sz w:val="18"/>
          <w:szCs w:val="18"/>
        </w:rPr>
        <w:t xml:space="preserve">M2M~INC.  |  MODEL 2 MESSAGE</w:t>
      </w:r>
    </w:p>
    <w:p>
      <w:pPr>
        <w:pBdr>
          <w:bottom w:val="single" w:color="0B1F3A" w:sz="16" w:space="4"/>
        </w:pBdr>
        <w:spacing w:after="56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WHEN THE GROUND MOVES</w:t>
      </w:r>
    </w:p>
    <w:p>
      <w:pPr>
        <w:spacing w:after="110"/>
      </w:pPr>
      <w:r>
        <w:rPr>
          <w:rFonts w:ascii="Arial" w:cs="Arial" w:eastAsia="Arial" w:hAnsi="Arial"/>
          <w:i/>
          <w:iCs/>
          <w:color w:val="8C6F1F"/>
          <w:sz w:val="19"/>
          <w:szCs w:val="19"/>
        </w:rPr>
        <w:t xml:space="preserve">A point of view for leaders rebuilding how their organizations perform — and a certified partner built to de-risk the work.</w:t>
      </w:r>
    </w:p>
    <w:p>
      <w:pPr>
        <w:spacing w:after="100" w:line="238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0"/>
          <w:szCs w:val="20"/>
        </w:rPr>
        <w:t xml:space="preserve">The shift you’re managing.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Energy, food, and capital costs are up and growth is soft, so the question your board is asking has changed — from “who do we hire” to “how do we get more from the team we already have.” That is not a tooling problem; it is an operating-system problem. M2M is an operating-system firm for human and organizational performance, and a certified veteran-owned partner (SDVOSB + VBE) whose credentials reduce your procurement risk while the work rebuilds how your organization performs.</w:t>
      </w:r>
    </w:p>
    <w:p>
      <w:pPr>
        <w:spacing w:after="46" w:before="30"/>
      </w:pPr>
      <w:r>
        <w:rPr>
          <w:rFonts w:ascii="Arial" w:cs="Arial" w:eastAsia="Arial" w:hAnsi="Arial"/>
          <w:b/>
          <w:bCs/>
          <w:color w:val="8C6F1F"/>
          <w:spacing w:val="26"/>
          <w:sz w:val="17"/>
          <w:szCs w:val="17"/>
        </w:rPr>
        <w:t xml:space="preserve">THE FORCES MOVING YOUR MARKET</w:t>
      </w:r>
    </w:p>
    <w:p>
      <w:pPr>
        <w:pStyle w:val="ListParagraph"/>
        <w:numPr>
          <w:ilvl w:val="0"/>
          <w:numId w:val="2"/>
        </w:numPr>
        <w:spacing w:after="54" w:line="228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Cost pressure is the new opener.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Middle East energy shock pushes 2026 energy prices up ~24% and commodities ~16% (World Bank); S&amp;P Global sees U.S. growth near 2.2% and ~30% recession risk. Hiring your way out is off the table.</w:t>
      </w:r>
    </w:p>
    <w:p>
      <w:pPr>
        <w:pStyle w:val="ListParagraph"/>
        <w:numPr>
          <w:ilvl w:val="0"/>
          <w:numId w:val="2"/>
        </w:numPr>
        <w:spacing w:after="54" w:line="228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AI spend is large — and stuck.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Enterprise AI spend reaches ~$407B in 2026, up ~35% (IDC). Yet Deloitte finds most organizations buy tools while few redesign the work, and only the redesigners capture value.</w:t>
      </w:r>
    </w:p>
    <w:p>
      <w:pPr>
        <w:pStyle w:val="ListParagraph"/>
        <w:numPr>
          <w:ilvl w:val="0"/>
          <w:numId w:val="2"/>
        </w:numPr>
        <w:spacing w:after="54" w:line="228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The certification landscape split.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200+ S&amp;P 500 firms cut diversity language from 2025 filings (~70% drop), but the veteran channel is protected and growing — now the lever, not the liability.</w:t>
      </w:r>
    </w:p>
    <w:p>
      <w:pPr>
        <w:spacing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F3A" w:sz="2"/>
              <w:left w:val="single" w:color="B08D2D" w:sz="20"/>
              <w:bottom w:val="single" w:color="0B1F3A" w:sz="2"/>
              <w:right w:val="single" w:color="0B1F3A" w:sz="2"/>
            </w:tcBorders>
            <w:shd w:fill="0B1F3A" w:val="clear"/>
            <w:tcMar>
              <w:top w:type="dxa" w:w="82"/>
              <w:left w:type="dxa" w:w="150"/>
              <w:bottom w:type="dxa" w:w="82"/>
              <w:right w:type="dxa" w:w="15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3ECD9"/>
                <w:spacing w:val="22"/>
                <w:sz w:val="16"/>
                <w:szCs w:val="16"/>
              </w:rPr>
              <w:t xml:space="preserve">WHY THE CREDENTIAL DE-RISKS YOUR BUY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Federal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a certified SDVOSB earns set-aside credit and Veterans First priority, a protected channel growing from a 3% to a 5% goal ($28.6B awarded in FY2025).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Commercial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Tier-1 subcontract-goal credit and audit-defensible sourcing that carries none of the legal exposure now attached to race- or gender-based programs.</w:t>
            </w:r>
          </w:p>
        </w:tc>
      </w:tr>
    </w:tbl>
    <w:p>
      <w:pPr>
        <w:spacing w:after="46" w:before="120"/>
      </w:pPr>
      <w:r>
        <w:rPr>
          <w:rFonts w:ascii="Arial" w:cs="Arial" w:eastAsia="Arial" w:hAnsi="Arial"/>
          <w:b/>
          <w:bCs/>
          <w:color w:val="8C6F1F"/>
          <w:spacing w:val="26"/>
          <w:sz w:val="17"/>
          <w:szCs w:val="17"/>
        </w:rPr>
        <w:t xml:space="preserve">WHAT YOU 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780"/>
      </w:tblGrid>
      <w:tr>
        <w:trPr>
          <w:tblHeader/>
        </w:trPr>
        <w:tc>
          <w:tcPr>
            <w:tcW w:type="dxa" w:w="22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0B1F3A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type="dxa" w:w="41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0B1F3A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378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0B1F3A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you leave with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Human OS™  (enterprise / GovCon)</w:t>
            </w:r>
          </w:p>
        </w:tc>
        <w:tc>
          <w:tcPr>
            <w:tcW w:type="dxa" w:w="41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diagnostic of how work actually flows, a redesign of your highest-cost functions, and a measured rollout.</w:t>
            </w:r>
          </w:p>
        </w:tc>
        <w:tc>
          <w:tcPr>
            <w:tcW w:type="dxa" w:w="378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decision-ready transformation roadmap with named outcomes and a delivery plan.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3ECD9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BRIDGE OS™  (employer / SMB)</w:t>
            </w:r>
          </w:p>
        </w:tc>
        <w:tc>
          <w:tcPr>
            <w:tcW w:type="dxa" w:w="41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3ECD9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fixed-scope plan to do more with the team you have — process redesign plus the automation to support it.</w:t>
            </w:r>
          </w:p>
        </w:tc>
        <w:tc>
          <w:tcPr>
            <w:tcW w:type="dxa" w:w="378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3ECD9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 implementation path with timeline, owners, and cost-out targets.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PIVOT OS™  (leaders / key people)</w:t>
            </w:r>
          </w:p>
        </w:tc>
        <w:tc>
          <w:tcPr>
            <w:tcW w:type="dxa" w:w="41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Reinvention as a method for the people navigating AI-exposed roles inside your organization.</w:t>
            </w:r>
          </w:p>
        </w:tc>
        <w:tc>
          <w:tcPr>
            <w:tcW w:type="dxa" w:w="378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personal operating plan and the capability to execute it.</w:t>
            </w:r>
          </w:p>
        </w:tc>
      </w:tr>
    </w:tbl>
    <w:p>
      <w:pPr>
        <w:spacing w:after="0" w:before="100" w:line="230"/>
      </w:pPr>
      <w:r>
        <w:rPr>
          <w:rFonts w:ascii="Arial" w:cs="Arial" w:eastAsia="Arial" w:hAnsi="Arial"/>
          <w:b/>
          <w:bCs/>
          <w:color w:val="8C6F1F"/>
          <w:spacing w:val="22"/>
          <w:sz w:val="16"/>
          <w:szCs w:val="16"/>
        </w:rPr>
        <w:t xml:space="preserve">PROOF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operating system is not a slide. M2M runs a live delivery stack — automation, governance, and measurement you can audit before you commit.</w:t>
      </w:r>
    </w:p>
    <w:p>
      <w:pPr>
        <w:spacing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8D2D" w:sz="2"/>
              <w:left w:val="single" w:color="8C6F1F" w:sz="20"/>
              <w:bottom w:val="single" w:color="B08D2D" w:sz="2"/>
              <w:right w:val="single" w:color="B08D2D" w:sz="2"/>
            </w:tcBorders>
            <w:shd w:fill="F3ECD9" w:val="clear"/>
            <w:tcMar>
              <w:top w:type="dxa" w:w="82"/>
              <w:left w:type="dxa" w:w="150"/>
              <w:bottom w:type="dxa" w:w="82"/>
              <w:right w:type="dxa" w:w="15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1F3A"/>
                <w:spacing w:val="22"/>
                <w:sz w:val="16"/>
                <w:szCs w:val="16"/>
              </w:rPr>
              <w:t xml:space="preserve">THE NEXT STEP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Start with a 90-day Human OS™ diagnostic on one function: fixed scope, one measured outcome, a decision-ready roadmap at the end. One 20-minute call to scope it.</w:t>
            </w:r>
          </w:p>
        </w:tc>
      </w:tr>
    </w:tbl>
    <w:sectPr>
      <w:footerReference w:type="default" r:id="rId7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2" w:sz="4" w:space="3"/>
      </w:pBdr>
      <w:tabs>
        <w:tab w:val="right" w:pos="10080"/>
      </w:tabs>
      <w:spacing w:before="30"/>
    </w:pPr>
    <w:r>
      <w:rPr>
        <w:rFonts w:ascii="Arial" w:cs="Arial" w:eastAsia="Arial" w:hAnsi="Arial"/>
        <w:color w:val="4A4A4A"/>
        <w:sz w:val="14"/>
        <w:szCs w:val="14"/>
      </w:rPr>
      <w:t xml:space="preserve">Dr. Kevin A. Smith  ·  Chief Opportunity Officer  ·  M2M~Inc.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0B1F3A"/>
        <w:sz w:val="14"/>
        <w:szCs w:val="14"/>
      </w:rPr>
      <w:t xml:space="preserve">model2message.net  ·  Book a 20-minute scoping call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C6F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— When the Ground Moves (Client Brief)</dc:title>
  <dc:creator>M2M~Inc.</dc:creator>
  <cp:lastModifiedBy>Un-named</cp:lastModifiedBy>
  <cp:revision>1</cp:revision>
  <dcterms:created xsi:type="dcterms:W3CDTF">2026-06-16T22:47:21.471Z</dcterms:created>
  <dcterms:modified xsi:type="dcterms:W3CDTF">2026-06-16T22:47:21.472Z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