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  <w:lang w:val="en-US" w:eastAsia="zh-CN"/>
        </w:rPr>
        <w:t>饶浩聪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201530612644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568302203@qq.com    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吴庆耀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7. 12 . 4</w:t>
      </w:r>
      <w:bookmarkStart w:id="0" w:name="_GoBack"/>
      <w:bookmarkEnd w:id="0"/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6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Experimental steps: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(Fill in the contents of 8-12 respectively for linear regression and linear classification)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Similarities and differences between linear regression and linear classification: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Summary: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AEB1319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611575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枫尘不舍得远翔。</cp:lastModifiedBy>
  <dcterms:modified xsi:type="dcterms:W3CDTF">2017-12-04T02:16:26Z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