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i w:val="false"/>
          <w:iCs w:val="false"/>
          <w:color w:val="1B5E6D"/>
          <w:sz w:val="36"/>
          <w:szCs w:val="36"/>
        </w:rPr>
        <w:t xml:space="preserve">CAMS-CAN Blinded Multinational Validation</w:t>
      </w:r>
    </w:p>
    <w:p>
      <w:pPr>
        <w:spacing w:after="60" w:before="0"/>
        <w:jc w:val="center"/>
      </w:pPr>
      <w:r>
        <w:rPr>
          <w:rFonts w:ascii="Arial" w:cs="Arial" w:eastAsia="Arial" w:hAnsi="Arial"/>
          <w:b w:val="false"/>
          <w:bCs w:val="false"/>
          <w:i w:val="false"/>
          <w:iCs w:val="false"/>
          <w:color w:val="4A6572"/>
          <w:sz w:val="26"/>
          <w:szCs w:val="26"/>
        </w:rPr>
        <w:t xml:space="preserve">Structural Prediction of Political Epiphenomenon Under Deep Blinding</w:t>
      </w:r>
    </w:p>
    <w:p>
      <w:pPr>
        <w:pBdr>
          <w:bottom w:val="single" w:color="1B5E6D" w:sz="6" w:space="1"/>
        </w:pBdr>
        <w:spacing w:after="80" w:before="80"/>
      </w:pPr>
      <w:r>
        <w:t xml:space="preserve"/>
      </w:r>
    </w:p>
    <w:p>
      <w:pPr>
        <w:spacing w:after="120" w:before="0"/>
      </w:pPr>
      <w:r>
        <w:t xml:space="preserve"/>
      </w:r>
    </w:p>
    <w:p>
      <w:pPr>
        <w:spacing w:after="60" w:before="0"/>
        <w:jc w:val="center"/>
      </w:pPr>
      <w:r>
        <w:rPr>
          <w:rFonts w:ascii="Arial" w:cs="Arial" w:eastAsia="Arial" w:hAnsi="Arial"/>
          <w:b/>
          <w:bCs/>
          <w:color w:val="1B2A33"/>
          <w:sz w:val="22"/>
          <w:szCs w:val="22"/>
        </w:rPr>
        <w:t xml:space="preserve">K.F. McKern</w:t>
      </w:r>
      <w:r>
        <w:rPr>
          <w:rFonts w:ascii="Arial" w:cs="Arial" w:eastAsia="Arial" w:hAnsi="Arial"/>
          <w:color w:val="4A6572"/>
          <w:sz w:val="22"/>
          <w:szCs w:val="22"/>
        </w:rPr>
        <w:t xml:space="preserve">  |  Neural Nations Project</w:t>
      </w:r>
    </w:p>
    <w:p>
      <w:pPr>
        <w:spacing w:after="60" w:before="0"/>
        <w:jc w:val="center"/>
      </w:pPr>
      <w:r>
        <w:rPr>
          <w:rFonts w:ascii="Arial" w:cs="Arial" w:eastAsia="Arial" w:hAnsi="Arial"/>
          <w:b w:val="false"/>
          <w:bCs w:val="false"/>
          <w:i w:val="false"/>
          <w:iCs w:val="false"/>
          <w:color w:val="4A6572"/>
          <w:sz w:val="20"/>
          <w:szCs w:val="20"/>
        </w:rPr>
        <w:t xml:space="preserve">30 June 2026</w:t>
      </w:r>
    </w:p>
    <w:p>
      <w:pPr>
        <w:spacing w:after="60" w:before="0"/>
        <w:jc w:val="center"/>
      </w:pPr>
      <w:r>
        <w:rPr>
          <w:rFonts w:ascii="Arial" w:cs="Arial" w:eastAsia="Arial" w:hAnsi="Arial"/>
          <w:b w:val="false"/>
          <w:bCs w:val="false"/>
          <w:i/>
          <w:iCs/>
          <w:color w:val="4A6572"/>
          <w:sz w:val="18"/>
          <w:szCs w:val="18"/>
        </w:rPr>
        <w:t xml:space="preserve">Manuscript status: First submission — pre-peer review</w:t>
      </w:r>
    </w:p>
    <w:p>
      <w:pPr>
        <w:spacing w:after="240" w:before="0"/>
        <w:jc w:val="center"/>
      </w:pPr>
      <w:r>
        <w:rPr>
          <w:rFonts w:ascii="Arial" w:cs="Arial" w:eastAsia="Arial" w:hAnsi="Arial"/>
          <w:b w:val="false"/>
          <w:bCs w:val="false"/>
          <w:i w:val="false"/>
          <w:iCs w:val="false"/>
          <w:color w:val="4A6572"/>
          <w:sz w:val="18"/>
          <w:szCs w:val="18"/>
        </w:rPr>
        <w:t xml:space="preserve">Corresponding model: JUNO CAMS v1.1 (Amended Formulation)</w:t>
      </w:r>
    </w:p>
    <w:p>
      <w:pPr>
        <w:spacing w:after="240" w:before="0"/>
      </w:pPr>
      <w:r>
        <w:t xml:space="preserve"/>
      </w:r>
    </w:p>
    <w:p>
      <w:pPr>
        <w:pBdr>
          <w:top w:val="single" w:color="1B5E6D" w:sz="1"/>
          <w:left w:val="single" w:color="1B5E6D" w:sz="1"/>
          <w:bottom w:val="single" w:color="1B5E6D" w:sz="1"/>
          <w:right w:val="single" w:color="1B5E6D" w:sz="1"/>
        </w:pBdr>
        <w:shd w:fill="F0EEE6" w:val="clear"/>
        <w:spacing w:after="0" w:before="0"/>
      </w:pPr>
      <w:r>
        <w:rPr>
          <w:rFonts w:ascii="Arial" w:cs="Arial" w:eastAsia="Arial" w:hAnsi="Arial"/>
          <w:b/>
          <w:bCs/>
          <w:color w:val="1B5E6D"/>
          <w:sz w:val="22"/>
          <w:szCs w:val="22"/>
        </w:rPr>
        <w:t xml:space="preserve">Abstract</w:t>
      </w:r>
    </w:p>
    <w:p>
      <w:pPr>
        <w:shd w:fill="F0EEE6" w:val="clear"/>
        <w:spacing w:after="200" w:before="0"/>
        <w:jc w:val="both"/>
      </w:pPr>
      <w:r>
        <w:rPr>
          <w:rFonts w:ascii="Arial" w:cs="Arial" w:eastAsia="Arial" w:hAnsi="Arial"/>
          <w:color w:val="1B2A33"/>
          <w:sz w:val="20"/>
          <w:szCs w:val="20"/>
        </w:rPr>
        <w:t xml:space="preserve">We report the results of CAMS-CAN, a blinded multinational prediction experiment testing whether the Civilisational Assessment and Modelling System v1.1 (CAMS v1.1) can forecast political epiphenomenon from structural phase-space vectors alone, with no access to national identity or calendar year. Using Dataset B — a deep-blind dataset of seven societies across 1,124 society-years (1800–2026) comprising 197 identified inflection points — we apply the v1.1 Epiphenomenon Prediction layer (including MOD-1v2 node-aware collapse sub-classifier and MOD-3 λ₂-conditioned peak-stability rule) and score predictions against the historical record. Overall accuracy is 31.5% (197 scored cases), exceeding the random 6-class baseline (16.7%) by 14.8 percentage points but only marginally exceeding the naive most-common-class baseline (30.5%). Performance is highly heterogeneous by EP class: EP-1 (Stable Consolidation) achieves 95% accuracy; EP-3 (Economic Shock) 62%; EP-6 (Institutional Collapse) 67%; while EP-4 (Armed Conflict) reaches only 8%, EP-2 (Elite Realignment) 13%, and EP-5 (Social Mobilisation) 0%. The dominant failure mode is systematic misclassification of armed conflict as economic shock or institutional collapse, arising from the absence of a coercive-mobilisation signal in the current node architecture. These results validate the CAMS regime classifier as a detector of economic and collapse dynamics while identifying EP-4 and EP-5 as unresolved prediction targets requiring architectural revision.</w:t>
      </w:r>
    </w:p>
    <w:p>
      <w:pPr>
        <w:spacing w:after="120" w:before="0"/>
      </w:pPr>
      <w:r>
        <w:t xml:space="preserve"/>
      </w:r>
    </w:p>
    <w:p>
      <w:pPr>
        <w:pStyle w:val="Heading1"/>
        <w:spacing w:after="140" w:before="280"/>
      </w:pPr>
      <w:r>
        <w:rPr>
          <w:rFonts w:ascii="Arial" w:cs="Arial" w:eastAsia="Arial" w:hAnsi="Arial"/>
          <w:b/>
          <w:bCs/>
          <w:color w:val="1B5E6D"/>
          <w:sz w:val="32"/>
          <w:szCs w:val="32"/>
        </w:rPr>
        <w:t xml:space="preserve">1. Introduction</w:t>
      </w:r>
    </w:p>
    <w:p>
      <w:pPr>
        <w:spacing w:after="160" w:before="0"/>
        <w:jc w:val="both"/>
      </w:pPr>
      <w:r>
        <w:rPr>
          <w:rFonts w:ascii="Arial" w:cs="Arial" w:eastAsia="Arial" w:hAnsi="Arial"/>
          <w:b w:val="false"/>
          <w:bCs w:val="false"/>
          <w:i w:val="false"/>
          <w:iCs w:val="false"/>
          <w:color w:val="1B2A33"/>
          <w:sz w:val="22"/>
          <w:szCs w:val="22"/>
        </w:rPr>
        <w:t xml:space="preserve">The capacity of structural models to predict observable political outcomes — coups, revolutions, economic crises, wars — from internal system dynamics alone is one of the foundational empirical challenges of computational social science. Most predictive frameworks rely on event-coded data and known national trajectories, creating a circularity problem: the model is trained on the very patterns it is tested against, and identity-tagged inputs leak national-historical knowledge into the prediction.</w:t>
      </w:r>
    </w:p>
    <w:p>
      <w:pPr>
        <w:spacing w:after="160" w:before="0"/>
        <w:jc w:val="both"/>
      </w:pPr>
      <w:r>
        <w:rPr>
          <w:rFonts w:ascii="Arial" w:cs="Arial" w:eastAsia="Arial" w:hAnsi="Arial"/>
          <w:b w:val="false"/>
          <w:bCs w:val="false"/>
          <w:i w:val="false"/>
          <w:iCs w:val="false"/>
          <w:color w:val="1B2A33"/>
          <w:sz w:val="21"/>
          <w:szCs w:val="21"/>
        </w:rPr>
        <w:t xml:space="preserve">CAMS (Civilisational Assessment and Modelling System) takes a different approach. It models societies as eight-node bipartite networks — four fast-loop nodes (Helm, Shield, Craft, Hands, Flow) and three slow-loop nodes (Archive, Lore, Stewards) — and scores each node annually on four latent dimensions (Coherence, Capacity, Stress, Abstraction) via ensemble LLM assessment. From these scores it derives a six-dimensional phase-space vector F_G = (V̄, σ_V, V_min, B̄, λ₂, s_min) and classifies each society-year into one of six structural regimes. Version 1.1, formalised 30 June 2026, adds a formal Epiphenomenon Prediction (EP) layer that maps structural inflection types to observable outcome classes.</w:t>
      </w:r>
    </w:p>
    <w:p>
      <w:pPr>
        <w:spacing w:after="160" w:before="0"/>
        <w:jc w:val="both"/>
      </w:pPr>
      <w:r>
        <w:rPr>
          <w:rFonts w:ascii="Arial" w:cs="Arial" w:eastAsia="Arial" w:hAnsi="Arial"/>
          <w:b/>
          <w:bCs/>
          <w:color w:val="1B2A33"/>
          <w:sz w:val="21"/>
          <w:szCs w:val="21"/>
        </w:rPr>
        <w:t xml:space="preserve">This paper reports the first blinded test of the EP layer.</w:t>
      </w:r>
      <w:r>
        <w:rPr>
          <w:rFonts w:ascii="Arial" w:cs="Arial" w:eastAsia="Arial" w:hAnsi="Arial"/>
          <w:color w:val="1B2A33"/>
          <w:sz w:val="21"/>
          <w:szCs w:val="21"/>
        </w:rPr>
        <w:t xml:space="preserve"> The test is adversarial by design: the predictor sees only structural phase-space vectors with anonymous society labels (Society_A through Society_G) and time-offset labels (T+0, T+1, …) replacing calendar years. National identity and historical knowledge are explicitly forbidden inputs. Predictions are generated mechanically from the v1.1 EP prediction rules, scored against the sealed historical record, and reported without post-hoc adjustment.</w:t>
      </w:r>
    </w:p>
    <w:p>
      <w:pPr>
        <w:spacing w:after="160" w:before="0"/>
        <w:jc w:val="both"/>
      </w:pPr>
      <w:r>
        <w:rPr>
          <w:rFonts w:ascii="Arial" w:cs="Arial" w:eastAsia="Arial" w:hAnsi="Arial"/>
          <w:b w:val="false"/>
          <w:bCs w:val="false"/>
          <w:i w:val="false"/>
          <w:iCs w:val="false"/>
          <w:color w:val="1B2A33"/>
          <w:sz w:val="21"/>
          <w:szCs w:val="21"/>
        </w:rPr>
        <w:t xml:space="preserve">The pre-registration sha-256 hash of the answer key was sealed prior to any prediction generation.</w:t>
      </w:r>
    </w:p>
    <w:p>
      <w:pPr>
        <w:spacing w:after="120" w:before="0"/>
      </w:pPr>
      <w:r>
        <w:rPr>
          <w:rStyle w:val="FootnoteReference"/>
        </w:rPr>
        <w:footnoteReference w:id="2"/>
      </w:r>
    </w:p>
    <w:p>
      <w:pPr>
        <w:spacing w:after="120" w:before="0"/>
      </w:pPr>
      <w:r>
        <w:t xml:space="preserve"/>
      </w:r>
    </w:p>
    <w:p>
      <w:pPr>
        <w:pStyle w:val="Heading1"/>
        <w:spacing w:after="140" w:before="280"/>
      </w:pPr>
      <w:r>
        <w:rPr>
          <w:rFonts w:ascii="Arial" w:cs="Arial" w:eastAsia="Arial" w:hAnsi="Arial"/>
          <w:b/>
          <w:bCs/>
          <w:color w:val="1B5E6D"/>
          <w:sz w:val="32"/>
          <w:szCs w:val="32"/>
        </w:rPr>
        <w:t xml:space="preserve">2. Methods</w:t>
      </w:r>
    </w:p>
    <w:p>
      <w:pPr>
        <w:pStyle w:val="Heading2"/>
        <w:spacing w:after="110" w:before="220"/>
      </w:pPr>
      <w:r>
        <w:rPr>
          <w:rFonts w:ascii="Arial" w:cs="Arial" w:eastAsia="Arial" w:hAnsi="Arial"/>
          <w:b/>
          <w:bCs/>
          <w:color w:val="1B5E6D"/>
          <w:sz w:val="26"/>
          <w:szCs w:val="26"/>
        </w:rPr>
        <w:t xml:space="preserve">2.1 Model: CAMS v1.1 EP Prediction Layer</w:t>
      </w:r>
    </w:p>
    <w:p>
      <w:pPr>
        <w:spacing w:after="120" w:before="0"/>
        <w:jc w:val="both"/>
      </w:pPr>
      <w:r>
        <w:rPr>
          <w:rFonts w:ascii="Arial" w:cs="Arial" w:eastAsia="Arial" w:hAnsi="Arial"/>
          <w:b w:val="false"/>
          <w:bCs w:val="false"/>
          <w:i w:val="false"/>
          <w:iCs w:val="false"/>
          <w:color w:val="1B2A33"/>
          <w:sz w:val="21"/>
          <w:szCs w:val="21"/>
        </w:rPr>
        <w:t xml:space="preserve">Node Value, Bond Strength, and the phase-space vector F_G follow JUNO CAMS v1.1 without modification.</w:t>
      </w:r>
    </w:p>
    <w:p>
      <w:pPr>
        <w:spacing w:after="120" w:before="0"/>
      </w:pPr>
      <w:r>
        <w:rPr>
          <w:rStyle w:val="FootnoteReference"/>
        </w:rPr>
        <w:footnoteReference w:id="1"/>
      </w:r>
    </w:p>
    <w:p>
      <w:pPr>
        <w:spacing w:after="120" w:before="0"/>
        <w:jc w:val="both"/>
      </w:pPr>
      <w:r>
        <w:rPr>
          <w:rFonts w:ascii="Arial" w:cs="Arial" w:eastAsia="Arial" w:hAnsi="Arial"/>
          <w:b w:val="false"/>
          <w:bCs w:val="false"/>
          <w:i w:val="false"/>
          <w:iCs w:val="false"/>
          <w:color w:val="1B2A33"/>
          <w:sz w:val="21"/>
          <w:szCs w:val="21"/>
        </w:rPr>
        <w:t xml:space="preserve">Inflection points are identified when |ΔV̄| &gt; 1.5 or V_min crosses the 4.0 threshold (v1.0 detection rule preserved from the Dataset B generation step). Each inflection point is classified into one of five structural types using the v1.1 algorithm: SYSTEMIC_CRISIS_ENTRY, COLLAPSE, PEAK_STABILITY, SHARP_RECOVERY, HOLLOW_HIGH_V, or NODE_FAILURE_CROSSING. Epiphenomenon predictions follow the v1.1 cascade: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300"/>
        <w:gridCol w:w="3360"/>
      </w:tblGrid>
      <w:tr>
        <w:tc>
          <w:tcPr>
            <w:tcW w:type="dxa" w:w="22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Inflection Type</w:t>
            </w:r>
          </w:p>
        </w:tc>
        <w:tc>
          <w:tcPr>
            <w:tcW w:type="dxa" w:w="25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Primary Rule</w:t>
            </w:r>
          </w:p>
        </w:tc>
        <w:tc>
          <w:tcPr>
            <w:tcW w:type="dxa" w:w="13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Predicted EP</w:t>
            </w:r>
          </w:p>
        </w:tc>
        <w:tc>
          <w:tcPr>
            <w:tcW w:type="dxa" w:w="336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Stated Accuracy (v1.1 spec)</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SHARP_RECOVERY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B_Mean rising → EP-1; else 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EP-1/EP-2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71.4% (validated)</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HOLLOW_HIGH_V</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Always EP-2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66.7% (validated)</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SYSTEMIC_CRISIS_ENTRY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Shield min → EP-4; else EP-6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EP-4/EP-6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60.0% (validated)</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COLLAPSE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MOD-1v2: min-node group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EP-3/4/5/6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75% post-MOD-1v2 (validated)</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PEAK_STABILITY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MOD-3: Δλ₂ over 5-year run-up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EP-1/2/3/5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100% (7-case caution)</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NODE_FAILURE_CROSSING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MOD-1v2 applied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EP-3/4/5/6</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Not separately validated</w:t>
            </w:r>
          </w:p>
        </w:tc>
      </w:tr>
    </w:tbl>
    <w:p>
      <w:pPr>
        <w:spacing w:after="120" w:before="0"/>
      </w:pPr>
      <w:r>
        <w:t xml:space="preserve"/>
      </w:r>
    </w:p>
    <w:p>
      <w:pPr>
        <w:pStyle w:val="Heading2"/>
        <w:spacing w:after="110" w:before="220"/>
      </w:pPr>
      <w:r>
        <w:rPr>
          <w:rFonts w:ascii="Arial" w:cs="Arial" w:eastAsia="Arial" w:hAnsi="Arial"/>
          <w:b/>
          <w:bCs/>
          <w:color w:val="1B5E6D"/>
          <w:sz w:val="26"/>
          <w:szCs w:val="26"/>
        </w:rPr>
        <w:t xml:space="preserve">2.2 Dataset B</w:t>
      </w:r>
    </w:p>
    <w:p>
      <w:pPr>
        <w:spacing w:after="120" w:before="0"/>
        <w:jc w:val="both"/>
      </w:pPr>
      <w:r>
        <w:rPr>
          <w:rFonts w:ascii="Arial" w:cs="Arial" w:eastAsia="Arial" w:hAnsi="Arial"/>
          <w:b w:val="false"/>
          <w:bCs w:val="false"/>
          <w:i w:val="false"/>
          <w:iCs w:val="false"/>
          <w:color w:val="1B2A33"/>
          <w:sz w:val="21"/>
          <w:szCs w:val="21"/>
        </w:rPr>
        <w:t xml:space="preserve">Dataset B comprises seven societies chosen for structural diversity: Australia (1875–2026), Chile (1875–2026), Germany (1880–2026), Norway (1880–2026), Poland (1875–2026), Russia (1800–2026), and United Kingdom (1880–2026). Colombia and Argentina were excluded per v1.1 eligibility criteria.</w:t>
      </w:r>
    </w:p>
    <w:p>
      <w:pPr>
        <w:spacing w:after="120" w:before="0"/>
      </w:pPr>
      <w:r>
        <w:rPr>
          <w:rStyle w:val="FootnoteReference"/>
        </w:rPr>
        <w:footnoteReference w:id="3"/>
      </w:r>
    </w:p>
    <w:p>
      <w:pPr>
        <w:spacing w:after="120" w:before="0"/>
        <w:jc w:val="both"/>
      </w:pPr>
      <w:r>
        <w:rPr>
          <w:rFonts w:ascii="Arial" w:cs="Arial" w:eastAsia="Arial" w:hAnsi="Arial"/>
          <w:b w:val="false"/>
          <w:bCs w:val="false"/>
          <w:i w:val="false"/>
          <w:iCs w:val="false"/>
          <w:color w:val="1B2A33"/>
          <w:sz w:val="21"/>
          <w:szCs w:val="21"/>
        </w:rPr>
        <w:t xml:space="preserve">The dataset contains 1,124 society-years, 8,992 node-year observations, and 197 identified inflection points (mean 28.1 per society; range 16–61). All CAMS dimensions are scored via 5-pass ensemble LLM assessment. Society labels and calendar years are replaced with anonymous tokens for blinding.</w:t>
      </w:r>
    </w:p>
    <w:p>
      <w:pPr>
        <w:pStyle w:val="Heading2"/>
        <w:spacing w:after="110" w:before="220"/>
      </w:pPr>
      <w:r>
        <w:rPr>
          <w:rFonts w:ascii="Arial" w:cs="Arial" w:eastAsia="Arial" w:hAnsi="Arial"/>
          <w:b/>
          <w:bCs/>
          <w:color w:val="1B5E6D"/>
          <w:sz w:val="26"/>
          <w:szCs w:val="26"/>
        </w:rPr>
        <w:t xml:space="preserve">2.3 Scoring</w:t>
      </w:r>
    </w:p>
    <w:p>
      <w:pPr>
        <w:spacing w:after="120" w:before="0"/>
        <w:jc w:val="both"/>
      </w:pPr>
      <w:r>
        <w:rPr>
          <w:rFonts w:ascii="Arial" w:cs="Arial" w:eastAsia="Arial" w:hAnsi="Arial"/>
          <w:b w:val="false"/>
          <w:bCs w:val="false"/>
          <w:i w:val="false"/>
          <w:iCs w:val="false"/>
          <w:color w:val="1B2A33"/>
          <w:sz w:val="21"/>
          <w:szCs w:val="21"/>
        </w:rPr>
        <w:t xml:space="preserve">Each inflection point receives one mechanical EP prediction (EP-1 through EP-6). Ground-truth EP assignment uses the 2-year window following the inflection year and the standard historiographical record. Cases where the dominant epiphenomenon is unambiguous (e.g., a declared war, a documented coup) are rated High confidence; borderline cases are rated Medium. All 197 inflection points are scored. A prediction is counted correct if and only if the predicted EP class matches the ground-truth EP class exactly.</w:t>
      </w:r>
    </w:p>
    <w:p>
      <w:pPr>
        <w:spacing w:after="120" w:before="0"/>
      </w:pPr>
      <w:r>
        <w:rPr>
          <w:rStyle w:val="FootnoteReference"/>
        </w:rPr>
        <w:footnoteReference w:id="5"/>
      </w:r>
    </w:p>
    <w:p>
      <w:pPr>
        <w:spacing w:after="160" w:before="0"/>
        <w:jc w:val="both"/>
      </w:pPr>
      <w:r>
        <w:rPr>
          <w:rFonts w:ascii="Arial" w:cs="Arial" w:eastAsia="Arial" w:hAnsi="Arial"/>
          <w:b w:val="false"/>
          <w:bCs w:val="false"/>
          <w:i w:val="false"/>
          <w:iCs w:val="false"/>
          <w:color w:val="1B2A33"/>
          <w:sz w:val="21"/>
          <w:szCs w:val="21"/>
        </w:rPr>
        <w:t xml:space="preserve">Baselines: (a) random 6-class selection = 16.7%; (b) always-predict-most-common-class (EP-2 at 30.5%). The protocol meaningful threshold is ≥50%; the strong-validation threshold is ≥65%.</w:t>
      </w:r>
    </w:p>
    <w:p>
      <w:pPr>
        <w:spacing w:after="120" w:before="0"/>
      </w:pPr>
      <w:r>
        <w:rPr>
          <w:rStyle w:val="FootnoteReference"/>
        </w:rPr>
        <w:footnoteReference w:id="7"/>
      </w:r>
    </w:p>
    <w:p>
      <w:pPr>
        <w:spacing w:after="120" w:before="0"/>
      </w:pPr>
      <w:r>
        <w:t xml:space="preserve"/>
      </w:r>
    </w:p>
    <w:p>
      <w:pPr>
        <w:pStyle w:val="Heading1"/>
        <w:spacing w:after="140" w:before="280"/>
      </w:pPr>
      <w:r>
        <w:rPr>
          <w:rFonts w:ascii="Arial" w:cs="Arial" w:eastAsia="Arial" w:hAnsi="Arial"/>
          <w:b/>
          <w:bCs/>
          <w:color w:val="1B5E6D"/>
          <w:sz w:val="32"/>
          <w:szCs w:val="32"/>
        </w:rPr>
        <w:t xml:space="preserve">3. Results</w:t>
      </w:r>
    </w:p>
    <w:p>
      <w:pPr>
        <w:pStyle w:val="Heading2"/>
        <w:spacing w:after="110" w:before="220"/>
      </w:pPr>
      <w:r>
        <w:rPr>
          <w:rFonts w:ascii="Arial" w:cs="Arial" w:eastAsia="Arial" w:hAnsi="Arial"/>
          <w:b/>
          <w:bCs/>
          <w:color w:val="1B5E6D"/>
          <w:sz w:val="26"/>
          <w:szCs w:val="26"/>
        </w:rPr>
        <w:t xml:space="preserve">3.1 Overall Accuracy</w:t>
      </w:r>
    </w:p>
    <w:p>
      <w:pPr>
        <w:shd w:fill="F0EEE6" w:val="clear"/>
        <w:spacing w:after="80" w:before="80"/>
        <w:jc w:val="center"/>
      </w:pPr>
      <w:r>
        <w:rPr>
          <w:rFonts w:ascii="Arial" w:cs="Arial" w:eastAsia="Arial" w:hAnsi="Arial"/>
          <w:color w:val="1B2A33"/>
          <w:sz w:val="26"/>
          <w:szCs w:val="26"/>
        </w:rPr>
        <w:t xml:space="preserve">Overall accuracy: 62/197 = </w:t>
      </w:r>
      <w:r>
        <w:rPr>
          <w:rFonts w:ascii="Arial" w:cs="Arial" w:eastAsia="Arial" w:hAnsi="Arial"/>
          <w:b/>
          <w:bCs/>
          <w:color w:val="D98B2B"/>
          <w:sz w:val="30"/>
          <w:szCs w:val="30"/>
        </w:rPr>
        <w:t xml:space="preserve">31.5%</w:t>
      </w:r>
      <w:r>
        <w:rPr>
          <w:rFonts w:ascii="Arial" w:cs="Arial" w:eastAsia="Arial" w:hAnsi="Arial"/>
          <w:color w:val="4A6572"/>
          <w:sz w:val="22"/>
          <w:szCs w:val="22"/>
        </w:rPr>
        <w:t xml:space="preserve">   |   Random baseline: 16.7%   |   Naive baseline: 30.5%</w:t>
      </w:r>
    </w:p>
    <w:p>
      <w:pPr>
        <w:spacing w:after="60" w:before="0"/>
      </w:pPr>
      <w:r>
        <w:t xml:space="preserve"/>
      </w:r>
    </w:p>
    <w:p>
      <w:pPr>
        <w:spacing w:after="160" w:before="0"/>
        <w:jc w:val="both"/>
      </w:pPr>
      <w:r>
        <w:rPr>
          <w:rFonts w:ascii="Arial" w:cs="Arial" w:eastAsia="Arial" w:hAnsi="Arial"/>
          <w:b w:val="false"/>
          <w:bCs w:val="false"/>
          <w:i w:val="false"/>
          <w:iCs w:val="false"/>
          <w:color w:val="1B2A33"/>
          <w:sz w:val="21"/>
          <w:szCs w:val="21"/>
        </w:rPr>
        <w:t xml:space="preserve">The model exceeds the random baseline by 14.8 percentage points but only marginally exceeds the naive baseline of always predicting the most common class (EP-2: Elite Realignment). The protocol meaningful threshold of 50% and strong-validation threshold of 65% are not met. The model therefore does not achieve validation status as a general-purpose EP predictor under the CAMS-CAN protocol.</w:t>
      </w:r>
    </w:p>
    <w:p>
      <w:pPr>
        <w:pStyle w:val="Heading2"/>
        <w:spacing w:after="110" w:before="220"/>
      </w:pPr>
      <w:r>
        <w:rPr>
          <w:rFonts w:ascii="Arial" w:cs="Arial" w:eastAsia="Arial" w:hAnsi="Arial"/>
          <w:b/>
          <w:bCs/>
          <w:color w:val="1B5E6D"/>
          <w:sz w:val="26"/>
          <w:szCs w:val="26"/>
        </w:rPr>
        <w:t xml:space="preserve">3.2 Performance by EP Class</w:t>
      </w:r>
    </w:p>
    <w:p>
      <w:pPr>
        <w:spacing w:after="120" w:before="0"/>
        <w:jc w:val="both"/>
      </w:pPr>
      <w:r>
        <w:rPr>
          <w:rFonts w:ascii="Arial" w:cs="Arial" w:eastAsia="Arial" w:hAnsi="Arial"/>
          <w:b w:val="false"/>
          <w:bCs w:val="false"/>
          <w:i w:val="false"/>
          <w:iCs w:val="false"/>
          <w:color w:val="1B2A33"/>
          <w:sz w:val="21"/>
          <w:szCs w:val="21"/>
        </w:rPr>
        <w:t xml:space="preserve">The aggregate accuracy conceals extreme heterogeneity across EP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800"/>
        <w:gridCol w:w="800"/>
        <w:gridCol w:w="800"/>
        <w:gridCol w:w="2660"/>
      </w:tblGrid>
      <w:tr>
        <w:tc>
          <w:tcPr>
            <w:tcW w:type="dxa" w:w="11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EP Class</w:t>
            </w:r>
          </w:p>
        </w:tc>
        <w:tc>
          <w:tcPr>
            <w:tcW w:type="dxa" w:w="32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GT Cases</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266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failure mode</w:t>
            </w:r>
          </w:p>
        </w:tc>
      </w:tr>
      <w:tr>
        <w:tc>
          <w:tcPr>
            <w:tcW w:type="dxa" w:w="11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bCs/>
                <w:color w:val="1B2A33"/>
                <w:sz w:val="17"/>
                <w:szCs w:val="17"/>
              </w:rPr>
              <w:t xml:space="preserve">EP-1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Stable Consolidation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21</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2A33"/>
                <w:sz w:val="17"/>
                <w:szCs w:val="17"/>
              </w:rPr>
              <w:t xml:space="preserve">20</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1B2A33"/>
                <w:sz w:val="17"/>
                <w:szCs w:val="17"/>
              </w:rPr>
              <w:t xml:space="preserve">95%</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Misclassified EP-2 cases</w:t>
            </w:r>
          </w:p>
        </w:tc>
      </w:tr>
      <w:tr>
        <w:tc>
          <w:tcPr>
            <w:tcW w:type="dxa" w:w="11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bCs/>
                <w:color w:val="1B2A33"/>
                <w:sz w:val="17"/>
                <w:szCs w:val="17"/>
              </w:rPr>
              <w:t xml:space="preserve">EP-2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Elite Realignment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60</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8</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13%</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Misread as EP-1 (26 cases) or EP-3 (22 cases)</w:t>
            </w:r>
          </w:p>
        </w:tc>
      </w:tr>
      <w:tr>
        <w:tc>
          <w:tcPr>
            <w:tcW w:type="dxa" w:w="11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bCs/>
                <w:color w:val="1B2A33"/>
                <w:sz w:val="17"/>
                <w:szCs w:val="17"/>
              </w:rPr>
              <w:t xml:space="preserve">EP-3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Economic Shock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39</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24</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62%</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Confused with EP-4 (shield depletion misread)</w:t>
            </w:r>
          </w:p>
        </w:tc>
      </w:tr>
      <w:tr>
        <w:tc>
          <w:tcPr>
            <w:tcW w:type="dxa" w:w="11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bCs/>
                <w:color w:val="1B2A33"/>
                <w:sz w:val="17"/>
                <w:szCs w:val="17"/>
              </w:rPr>
              <w:t xml:space="preserve">EP-4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Armed Conflict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52</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4</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8%</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EP-6 predicted (18), EP-3 predicted (15)</w:t>
            </w:r>
          </w:p>
        </w:tc>
      </w:tr>
      <w:tr>
        <w:tc>
          <w:tcPr>
            <w:tcW w:type="dxa" w:w="11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bCs/>
                <w:color w:val="1B2A33"/>
                <w:sz w:val="17"/>
                <w:szCs w:val="17"/>
              </w:rPr>
              <w:t xml:space="preserve">EP-5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Social Mobilisation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16</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0</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0%</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Complete blind spot in current framework</w:t>
            </w:r>
          </w:p>
        </w:tc>
      </w:tr>
      <w:tr>
        <w:tc>
          <w:tcPr>
            <w:tcW w:type="dxa" w:w="11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bCs/>
                <w:color w:val="1B2A33"/>
                <w:sz w:val="17"/>
                <w:szCs w:val="17"/>
              </w:rPr>
              <w:t xml:space="preserve">EP-6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Institutional Collapse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9</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67%</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Some over-firing of EP-6 in economic crises</w:t>
            </w:r>
          </w:p>
        </w:tc>
      </w:tr>
    </w:tbl>
    <w:p>
      <w:pPr>
        <w:spacing w:after="120" w:before="0"/>
      </w:pPr>
      <w:r>
        <w:t xml:space="preserve"/>
      </w:r>
    </w:p>
    <w:p>
      <w:pPr>
        <w:pStyle w:val="Heading2"/>
        <w:spacing w:after="110" w:before="220"/>
      </w:pPr>
      <w:r>
        <w:rPr>
          <w:rFonts w:ascii="Arial" w:cs="Arial" w:eastAsia="Arial" w:hAnsi="Arial"/>
          <w:b/>
          <w:bCs/>
          <w:color w:val="1B5E6D"/>
          <w:sz w:val="26"/>
          <w:szCs w:val="26"/>
        </w:rPr>
        <w:t xml:space="preserve">3.3 Performance by Inflection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800"/>
        <w:gridCol w:w="800"/>
        <w:gridCol w:w="800"/>
        <w:gridCol w:w="3360"/>
      </w:tblGrid>
      <w:tr>
        <w:tc>
          <w:tcPr>
            <w:tcW w:type="dxa" w:w="24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Inflection Type</w:t>
            </w:r>
          </w:p>
        </w:tc>
        <w:tc>
          <w:tcPr>
            <w:tcW w:type="dxa" w:w="12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Stated</w:t>
            </w:r>
          </w:p>
        </w:tc>
        <w:tc>
          <w:tcPr>
            <w:tcW w:type="dxa" w:w="336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Gap</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HOLLOW_HIGH_V</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55%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66.7%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−12pp; 5 EP-2 correctly predicted; 2 EP-4 misread as EP-2</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PEAK_STABILITY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w:t>
            </w:r>
          </w:p>
        </w:tc>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50%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−50pp; small N (n=4) precludes firm inference</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COLLAPSE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43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16</w:t>
            </w:r>
          </w:p>
        </w:tc>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37%</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75%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−38pp; war cases (EP-4) mislabelled EP-3/EP-6</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SHARP_RECOVERY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61</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20</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71.4%</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−38pp; 26 EP-2 cases misread as EP-1</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SYSTEMIC_CRISIS_ENTRY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7</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−40pp; 18 EP-4 cases predicted EP-6</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NODE_FAILURE_CROSSING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43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11</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Not benchmarked; EP-3 dominates predictions</w:t>
            </w:r>
          </w:p>
        </w:tc>
      </w:tr>
    </w:tbl>
    <w:p>
      <w:pPr>
        <w:spacing w:after="120" w:before="0"/>
      </w:pPr>
      <w:r>
        <w:t xml:space="preserve"/>
      </w:r>
    </w:p>
    <w:p>
      <w:pPr>
        <w:pStyle w:val="Heading2"/>
        <w:spacing w:after="110" w:before="220"/>
      </w:pPr>
      <w:r>
        <w:rPr>
          <w:rFonts w:ascii="Arial" w:cs="Arial" w:eastAsia="Arial" w:hAnsi="Arial"/>
          <w:b/>
          <w:bCs/>
          <w:color w:val="1B5E6D"/>
          <w:sz w:val="26"/>
          <w:szCs w:val="26"/>
        </w:rPr>
        <w:t xml:space="preserve">3.4 MOD-1v2 Node-Aware Sub-Classifier Performance</w:t>
      </w:r>
    </w:p>
    <w:p>
      <w:pPr>
        <w:spacing w:after="120" w:before="0"/>
        <w:jc w:val="both"/>
      </w:pPr>
      <w:r>
        <w:rPr>
          <w:rFonts w:ascii="Arial" w:cs="Arial" w:eastAsia="Arial" w:hAnsi="Arial"/>
          <w:b w:val="false"/>
          <w:bCs w:val="false"/>
          <w:i w:val="false"/>
          <w:iCs w:val="false"/>
          <w:color w:val="1B2A33"/>
          <w:sz w:val="21"/>
          <w:szCs w:val="21"/>
        </w:rPr>
        <w:t xml:space="preserve">The MOD-1v2 rule maps the minimum-value node at a COLLAPSE or NODE_FAILURE_CROSSING inflection to an EP class. Tested across 86 cases:</w:t>
      </w:r>
    </w:p>
    <w:p>
      <w:pPr>
        <w:spacing w:after="120" w:before="0"/>
      </w:pPr>
      <w:r>
        <w:rPr>
          <w:rStyle w:val="FootnoteReference"/>
        </w:rPr>
        <w:footnoteReference w:id="4"/>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800"/>
        <w:gridCol w:w="800"/>
        <w:gridCol w:w="800"/>
        <w:gridCol w:w="3160"/>
      </w:tblGrid>
      <w:tr>
        <w:tc>
          <w:tcPr>
            <w:tcW w:type="dxa" w:w="24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Min-Node Group</w:t>
            </w:r>
          </w:p>
        </w:tc>
        <w:tc>
          <w:tcPr>
            <w:tcW w:type="dxa" w:w="14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Predicted EP</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Cases</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w:t>
            </w:r>
          </w:p>
        </w:tc>
        <w:tc>
          <w:tcPr>
            <w:tcW w:type="dxa" w:w="8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w:t>
            </w:r>
          </w:p>
        </w:tc>
        <w:tc>
          <w:tcPr>
            <w:tcW w:type="dxa" w:w="316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Commentary</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Hands / Flow / Craft (Productive)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69</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24</w:t>
            </w:r>
          </w:p>
        </w:tc>
        <w:tc>
          <w:tcPr>
            <w:tcW w:type="dxa" w:w="8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War economics confound: armies raise Hands/Craft capacity before depletion</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Shield (Coercive)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w:t>
            </w:r>
          </w:p>
        </w:tc>
        <w:tc>
          <w:tcPr>
            <w:tcW w:type="dxa" w:w="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Strongest signal; n=5 only</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Helm / Stewards (Governing)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10</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0</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Occupation cases: Helm/Stewards collapse under war, not governance failure</w:t>
            </w:r>
          </w:p>
        </w:tc>
      </w:tr>
      <w:tr>
        <w:tc>
          <w:tcPr>
            <w:tcW w:type="dxa" w:w="24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Archive / Lore (Legitimacy)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EP-5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0</w:t>
            </w:r>
          </w:p>
        </w:tc>
        <w:tc>
          <w:tcPr>
            <w:tcW w:type="dxa" w:w="8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N too small; EP-5 has 0% overall accuracy</w:t>
            </w:r>
          </w:p>
        </w:tc>
      </w:tr>
    </w:tbl>
    <w:p>
      <w:pPr>
        <w:spacing w:after="120" w:before="0"/>
      </w:pPr>
      <w:r>
        <w:t xml:space="preserve"/>
      </w:r>
    </w:p>
    <w:p>
      <w:pPr>
        <w:pStyle w:val="Heading2"/>
        <w:spacing w:after="110" w:before="220"/>
      </w:pPr>
      <w:r>
        <w:rPr>
          <w:rFonts w:ascii="Arial" w:cs="Arial" w:eastAsia="Arial" w:hAnsi="Arial"/>
          <w:b/>
          <w:bCs/>
          <w:color w:val="1B5E6D"/>
          <w:sz w:val="26"/>
          <w:szCs w:val="26"/>
        </w:rPr>
        <w:t xml:space="preserve">3.5 Performance by Society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900"/>
        <w:gridCol w:w="900"/>
        <w:gridCol w:w="4460"/>
      </w:tblGrid>
      <w:tr>
        <w:tc>
          <w:tcPr>
            <w:tcW w:type="dxa" w:w="22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Society</w:t>
            </w:r>
          </w:p>
        </w:tc>
        <w:tc>
          <w:tcPr>
            <w:tcW w:type="dxa" w:w="9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dxa" w:w="9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Correct</w:t>
            </w:r>
          </w:p>
        </w:tc>
        <w:tc>
          <w:tcPr>
            <w:tcW w:type="dxa" w:w="90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Accuracy</w:t>
            </w:r>
          </w:p>
        </w:tc>
        <w:tc>
          <w:tcPr>
            <w:tcW w:type="dxa" w:w="4460"/>
            <w:tcBorders>
              <w:top w:val="single" w:color="1B5E6D" w:sz="1"/>
              <w:left w:val="single" w:color="1B5E6D" w:sz="1"/>
              <w:bottom w:val="single" w:color="1B5E6D" w:sz="1"/>
              <w:right w:val="single" w:color="1B5E6D" w:sz="1"/>
            </w:tcBorders>
            <w:shd w:fill="1B5E6D"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Dominant failure</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Norway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11</w:t>
            </w:r>
          </w:p>
        </w:tc>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55%</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Hollow_High_V / EEC referendum (EP-5) misread as EP-6; 1929 depression misread as EP-6</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Chile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13</w:t>
            </w:r>
          </w:p>
        </w:tc>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46%</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1907 Iquique massacre (EP-5) undetected; 1925/1988 political ruptures misread</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Australia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8</w:t>
            </w:r>
          </w:p>
        </w:tc>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40%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WWI/Korean War/Vietnam (EP-4) predicted as EP-6; Depression (EP-3) predicted EP-6</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United Kingdom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7</w:t>
            </w:r>
          </w:p>
        </w:tc>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33%</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EP-4 (WWI, Falklands, N. Ireland) missed; EP-2 underrepresented</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Germany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10</w:t>
            </w:r>
          </w:p>
        </w:tc>
        <w:tc>
          <w:tcPr>
            <w:tcW w:type="dxa" w:w="90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32%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WWI predicted EP-3 (Flow depletion); Nazi recovery predicted EP-1 instead of EP-6/EP-4</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Russia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61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11</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18%</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Vast NODE_FAILURE_CROSSING archive → EP-3, masking EP-2/EP-4; many wars missed</w:t>
            </w:r>
          </w:p>
        </w:tc>
      </w:tr>
      <w:tr>
        <w:tc>
          <w:tcPr>
            <w:tcW w:type="dxa" w:w="2200"/>
            <w:tcBorders>
              <w:top w:val="single" w:color="CCCCCC" w:sz="1"/>
              <w:left w:val="single" w:color="CCCCCC" w:sz="1"/>
              <w:bottom w:val="single" w:color="CCCCCC" w:sz="1"/>
              <w:right w:val="single" w:color="CCCCCC" w:sz="1"/>
            </w:tcBorders>
            <w:shd w:fill="F0EEE6" w:val="clear"/>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Poland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2</w:t>
            </w:r>
          </w:p>
        </w:tc>
        <w:tc>
          <w:tcPr>
            <w:tcW w:type="dxa" w:w="9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vAlign w:val="center"/>
          </w:tcPr>
          <w:p>
            <w:pPr>
              <w:jc w:val="center"/>
            </w:pPr>
            <w:r>
              <w:rPr>
                <w:rFonts w:ascii="Arial" w:cs="Arial" w:eastAsia="Arial" w:hAnsi="Arial"/>
                <w:b w:val="false"/>
                <w:bCs w:val="false"/>
                <w:color w:val="1B2A33"/>
                <w:sz w:val="17"/>
                <w:szCs w:val="17"/>
              </w:rPr>
              <w:t xml:space="preserve">12%</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1B2A33"/>
                <w:sz w:val="17"/>
                <w:szCs w:val="17"/>
              </w:rPr>
              <w:t xml:space="preserve">Occupation years predicted EP-6; actual EP-4. Post-war recovery → EP-1 predicted; actual EP-6</w:t>
            </w:r>
          </w:p>
        </w:tc>
      </w:tr>
    </w:tbl>
    <w:p>
      <w:pPr>
        <w:spacing w:after="120" w:before="0"/>
      </w:pPr>
      <w:r>
        <w:t xml:space="preserve"/>
      </w:r>
    </w:p>
    <w:p>
      <w:pPr>
        <w:spacing w:after="160" w:before="0"/>
        <w:jc w:val="both"/>
      </w:pPr>
      <w:r>
        <w:rPr>
          <w:rFonts w:ascii="Arial" w:cs="Arial" w:eastAsia="Arial" w:hAnsi="Arial"/>
          <w:b w:val="false"/>
          <w:bCs w:val="false"/>
          <w:i w:val="false"/>
          <w:iCs w:val="false"/>
          <w:color w:val="1B2A33"/>
          <w:sz w:val="21"/>
          <w:szCs w:val="21"/>
        </w:rPr>
        <w:t xml:space="preserve">Norway and Chile, despite very different histories, produce the highest accuracy (55% and 46% respectively). Norway's relatively uncomplicated trajectory (depression, occupation, oil boom, stable democracy) maps well to the CAMS taxonomy. Chile's frequent institutional ruptures generate clear structural inflection signatures. Germany and Russia perform poorly for opposing structural reasons: Germany's rapid ideological reversal (Weimar collapse classified as SHARP_RECOVERY by CAMS) and Russia's chronic NODE_FAILURE_CROSSING pattern across 19th-century Tsarist management generate prediction noise. Poland's occupation and forced-recovery sequence is the most structurally deceptive in the corpus.</w:t>
      </w:r>
    </w:p>
    <w:p>
      <w:pPr>
        <w:pStyle w:val="Heading2"/>
        <w:spacing w:after="110" w:before="220"/>
      </w:pPr>
      <w:r>
        <w:rPr>
          <w:rFonts w:ascii="Arial" w:cs="Arial" w:eastAsia="Arial" w:hAnsi="Arial"/>
          <w:b/>
          <w:bCs/>
          <w:color w:val="1B5E6D"/>
          <w:sz w:val="26"/>
          <w:szCs w:val="26"/>
        </w:rPr>
        <w:t xml:space="preserve">3.6 Highlighted Cases</w:t>
      </w:r>
    </w:p>
    <w:p>
      <w:pPr>
        <w:pStyle w:val="Heading3"/>
        <w:spacing w:after="80" w:before="160"/>
      </w:pPr>
      <w:r>
        <w:rPr>
          <w:rFonts w:ascii="Arial" w:cs="Arial" w:eastAsia="Arial" w:hAnsi="Arial"/>
          <w:b/>
          <w:bCs/>
          <w:color w:val="4A6572"/>
          <w:sz w:val="22"/>
          <w:szCs w:val="22"/>
        </w:rPr>
        <w:t xml:space="preserve">Correct predictions</w:t>
      </w:r>
    </w:p>
    <w:p>
      <w:pPr>
        <w:pStyle w:val="ListParagraph"/>
        <w:numPr>
          <w:ilvl w:val="0"/>
          <w:numId w:val="2"/>
        </w:numPr>
        <w:spacing w:after="60" w:before="40"/>
      </w:pPr>
      <w:r>
        <w:rPr>
          <w:rFonts w:ascii="Arial" w:cs="Arial" w:eastAsia="Arial" w:hAnsi="Arial"/>
          <w:color w:val="1B2A33"/>
          <w:sz w:val="21"/>
          <w:szCs w:val="21"/>
        </w:rPr>
        <w:t xml:space="preserve">Germany 1918 (SYSTEMIC_CRISIS_ENTRY → EP-6): Kaiser abdicates, Weimar proclaimed. Predicted EP-6. ✓</w:t>
      </w:r>
    </w:p>
    <w:p>
      <w:pPr>
        <w:pStyle w:val="ListParagraph"/>
        <w:numPr>
          <w:ilvl w:val="0"/>
          <w:numId w:val="2"/>
        </w:numPr>
        <w:spacing w:after="60" w:before="40"/>
      </w:pPr>
      <w:r>
        <w:rPr>
          <w:rFonts w:ascii="Arial" w:cs="Arial" w:eastAsia="Arial" w:hAnsi="Arial"/>
          <w:color w:val="1B2A33"/>
          <w:sz w:val="21"/>
          <w:szCs w:val="21"/>
        </w:rPr>
        <w:t xml:space="preserve">Australia 1974 (COLLAPSE / Flow min → EP-3): Oil crisis, Whitlam budget collapse. Predicted EP-3. ✓</w:t>
      </w:r>
    </w:p>
    <w:p>
      <w:pPr>
        <w:pStyle w:val="ListParagraph"/>
        <w:numPr>
          <w:ilvl w:val="0"/>
          <w:numId w:val="2"/>
        </w:numPr>
        <w:spacing w:after="60" w:before="40"/>
      </w:pPr>
      <w:r>
        <w:rPr>
          <w:rFonts w:ascii="Arial" w:cs="Arial" w:eastAsia="Arial" w:hAnsi="Arial"/>
          <w:color w:val="1B2A33"/>
          <w:sz w:val="21"/>
          <w:szCs w:val="21"/>
        </w:rPr>
        <w:t xml:space="preserve">Norway 1940 (SYSTEMIC_CRISIS_ENTRY / Shield min → EP-4): Nazi invasion April 1940. Predicted EP-4. ✓</w:t>
      </w:r>
    </w:p>
    <w:p>
      <w:pPr>
        <w:pStyle w:val="ListParagraph"/>
        <w:numPr>
          <w:ilvl w:val="0"/>
          <w:numId w:val="2"/>
        </w:numPr>
        <w:spacing w:after="60" w:before="40"/>
      </w:pPr>
      <w:r>
        <w:rPr>
          <w:rFonts w:ascii="Arial" w:cs="Arial" w:eastAsia="Arial" w:hAnsi="Arial"/>
          <w:color w:val="1B2A33"/>
          <w:sz w:val="21"/>
          <w:szCs w:val="21"/>
        </w:rPr>
        <w:t xml:space="preserve">Chile 1931 (SYSTEMIC_CRISIS_ENTRY → EP-6): Ibáñez flees, Socialist Republic. Predicted EP-6. ✓</w:t>
      </w:r>
    </w:p>
    <w:p>
      <w:pPr>
        <w:pStyle w:val="ListParagraph"/>
        <w:numPr>
          <w:ilvl w:val="0"/>
          <w:numId w:val="2"/>
        </w:numPr>
        <w:spacing w:after="60" w:before="40"/>
      </w:pPr>
      <w:r>
        <w:rPr>
          <w:rFonts w:ascii="Arial" w:cs="Arial" w:eastAsia="Arial" w:hAnsi="Arial"/>
          <w:color w:val="1B2A33"/>
          <w:sz w:val="21"/>
          <w:szCs w:val="21"/>
        </w:rPr>
        <w:t xml:space="preserve">UK 2010 (HOLLOW_HIGH_V → EP-2): Cameron-Clegg coalition. Predicted EP-2. ✓</w:t>
      </w:r>
    </w:p>
    <w:p>
      <w:pPr>
        <w:pStyle w:val="ListParagraph"/>
        <w:numPr>
          <w:ilvl w:val="0"/>
          <w:numId w:val="2"/>
        </w:numPr>
        <w:spacing w:after="60" w:before="40"/>
      </w:pPr>
      <w:r>
        <w:rPr>
          <w:rFonts w:ascii="Arial" w:cs="Arial" w:eastAsia="Arial" w:hAnsi="Arial"/>
          <w:color w:val="1B2A33"/>
          <w:sz w:val="21"/>
          <w:szCs w:val="21"/>
        </w:rPr>
        <w:t xml:space="preserve">Russia 1991 (SYSTEMIC_CRISIS_ENTRY → EP-6): Soviet collapse. Predicted EP-6. ✓</w:t>
      </w:r>
    </w:p>
    <w:p>
      <w:pPr>
        <w:pStyle w:val="Heading3"/>
        <w:spacing w:after="80" w:before="160"/>
      </w:pPr>
      <w:r>
        <w:rPr>
          <w:rFonts w:ascii="Arial" w:cs="Arial" w:eastAsia="Arial" w:hAnsi="Arial"/>
          <w:b/>
          <w:bCs/>
          <w:color w:val="4A6572"/>
          <w:sz w:val="22"/>
          <w:szCs w:val="22"/>
        </w:rPr>
        <w:t xml:space="preserve">Systematic failures</w:t>
      </w:r>
    </w:p>
    <w:p>
      <w:pPr>
        <w:pStyle w:val="ListParagraph"/>
        <w:numPr>
          <w:ilvl w:val="0"/>
          <w:numId w:val="2"/>
        </w:numPr>
        <w:spacing w:after="60" w:before="40"/>
      </w:pPr>
      <w:r>
        <w:rPr>
          <w:rFonts w:ascii="Arial" w:cs="Arial" w:eastAsia="Arial" w:hAnsi="Arial"/>
          <w:color w:val="1B2A33"/>
          <w:sz w:val="21"/>
          <w:szCs w:val="21"/>
        </w:rPr>
        <w:t xml:space="preserve">Germany 1915–1916 (COLLAPSE / Flow min → EP-3): WWI Verdun/Somme. Predicted EP-3. ✗ — armed conflict misread as economic shock because Flow (transport/logistics) depletes first under wartime strain.</w:t>
      </w:r>
    </w:p>
    <w:p>
      <w:pPr>
        <w:pStyle w:val="ListParagraph"/>
        <w:numPr>
          <w:ilvl w:val="0"/>
          <w:numId w:val="2"/>
        </w:numPr>
        <w:spacing w:after="60" w:before="40"/>
      </w:pPr>
      <w:r>
        <w:rPr>
          <w:rFonts w:ascii="Arial" w:cs="Arial" w:eastAsia="Arial" w:hAnsi="Arial"/>
          <w:color w:val="1B2A33"/>
          <w:sz w:val="21"/>
          <w:szCs w:val="21"/>
        </w:rPr>
        <w:t xml:space="preserve">Germany 1933–1935 (SHARP_RECOVERY → EP-1): Hitler appointed; Night of Long Knives; Nuremberg Laws. Predicted EP-1 (consolidation). ✗ — Nazi mobilisation raises Capacity and Coherence before destroying Abstraction and Lore.</w:t>
      </w:r>
    </w:p>
    <w:p>
      <w:pPr>
        <w:pStyle w:val="ListParagraph"/>
        <w:numPr>
          <w:ilvl w:val="0"/>
          <w:numId w:val="2"/>
        </w:numPr>
        <w:spacing w:after="60" w:before="40"/>
      </w:pPr>
      <w:r>
        <w:rPr>
          <w:rFonts w:ascii="Arial" w:cs="Arial" w:eastAsia="Arial" w:hAnsi="Arial"/>
          <w:color w:val="1B2A33"/>
          <w:sz w:val="21"/>
          <w:szCs w:val="21"/>
        </w:rPr>
        <w:t xml:space="preserve">Poland 1947 (SHARP_RECOVERY → EP-1): Communist takeover complete. Predicted EP-1. ✗ — forced structural recovery under Stalinist consolidation is indistinguishable from genuine recovery in node-value space.</w:t>
      </w:r>
    </w:p>
    <w:p>
      <w:pPr>
        <w:pStyle w:val="ListParagraph"/>
        <w:numPr>
          <w:ilvl w:val="0"/>
          <w:numId w:val="2"/>
        </w:numPr>
        <w:spacing w:after="60" w:before="40"/>
      </w:pPr>
      <w:r>
        <w:rPr>
          <w:rFonts w:ascii="Arial" w:cs="Arial" w:eastAsia="Arial" w:hAnsi="Arial"/>
          <w:color w:val="1B2A33"/>
          <w:sz w:val="21"/>
          <w:szCs w:val="21"/>
        </w:rPr>
        <w:t xml:space="preserve">Chile 1988 (NODE_FAILURE_CROSSING / Hands min → EP-3): Pinochet plebiscite, mass civic mobilisation. Predicted EP-3. ✗ — social mobilisation leaves no distinctive node signature in current architecture.</w:t>
      </w:r>
    </w:p>
    <w:p>
      <w:pPr>
        <w:spacing w:after="120" w:before="0"/>
      </w:pPr>
      <w:r>
        <w:t xml:space="preserve"/>
      </w:r>
    </w:p>
    <w:p>
      <w:r>
        <w:br w:type="page"/>
      </w:r>
    </w:p>
    <w:p>
      <w:pPr>
        <w:pStyle w:val="Heading1"/>
        <w:spacing w:after="140" w:before="280"/>
      </w:pPr>
      <w:r>
        <w:rPr>
          <w:rFonts w:ascii="Arial" w:cs="Arial" w:eastAsia="Arial" w:hAnsi="Arial"/>
          <w:b/>
          <w:bCs/>
          <w:color w:val="1B5E6D"/>
          <w:sz w:val="32"/>
          <w:szCs w:val="32"/>
        </w:rPr>
        <w:t xml:space="preserve">4. Discussion</w:t>
      </w:r>
    </w:p>
    <w:p>
      <w:pPr>
        <w:pStyle w:val="Heading2"/>
        <w:spacing w:after="110" w:before="220"/>
      </w:pPr>
      <w:r>
        <w:rPr>
          <w:rFonts w:ascii="Arial" w:cs="Arial" w:eastAsia="Arial" w:hAnsi="Arial"/>
          <w:b/>
          <w:bCs/>
          <w:color w:val="1B5E6D"/>
          <w:sz w:val="26"/>
          <w:szCs w:val="26"/>
        </w:rPr>
        <w:t xml:space="preserve">4.1 The Coercive-Mobilisation Blind Spot</w:t>
      </w:r>
    </w:p>
    <w:p>
      <w:pPr>
        <w:spacing w:after="140" w:before="0"/>
        <w:jc w:val="both"/>
      </w:pPr>
      <w:r>
        <w:rPr>
          <w:rFonts w:ascii="Arial" w:cs="Arial" w:eastAsia="Arial" w:hAnsi="Arial"/>
          <w:b w:val="false"/>
          <w:bCs w:val="false"/>
          <w:i w:val="false"/>
          <w:iCs w:val="false"/>
          <w:color w:val="1B2A33"/>
          <w:sz w:val="21"/>
          <w:szCs w:val="21"/>
        </w:rPr>
        <w:t xml:space="preserve">The most consequential finding of this experiment is the near-complete failure to detect EP-4 (Armed Conflict). With only 4/52 cases correctly classified, EP-4 represents the largest ground-truth class (26.4% of the corpus) and the worst-predicted outcome. This failure is not accidental — it reflects a structural feature of the CAMS architecture.</w:t>
      </w:r>
    </w:p>
    <w:p>
      <w:pPr>
        <w:spacing w:after="120" w:before="0"/>
      </w:pPr>
      <w:r>
        <w:rPr>
          <w:rStyle w:val="FootnoteReference"/>
        </w:rPr>
        <w:footnoteReference w:id="6"/>
      </w:r>
    </w:p>
    <w:p>
      <w:pPr>
        <w:spacing w:after="140" w:before="0"/>
        <w:jc w:val="both"/>
      </w:pPr>
      <w:r>
        <w:rPr>
          <w:rFonts w:ascii="Arial" w:cs="Arial" w:eastAsia="Arial" w:hAnsi="Arial"/>
          <w:b w:val="false"/>
          <w:bCs w:val="false"/>
          <w:i w:val="false"/>
          <w:iCs w:val="false"/>
          <w:color w:val="1B2A33"/>
          <w:sz w:val="21"/>
          <w:szCs w:val="21"/>
        </w:rPr>
        <w:t xml:space="preserve">Armed conflict, in its early mobilisation phase, typically raises Capacity scores for Shield, Helm, and Craft (military production, command coherence, industrial output) before depleting them. The CAMS scoring system interprets this as a structural improvement — a SHARP_RECOVERY or high-V stable state — and predicts EP-1 (consolidation) rather than EP-4. The 15 cases predicted as EP-3 (Productive node failure) during wars reflect the later depletion phase, when Hands, Flow, and Craft finally register collapse under sustained conflict. By this point, armed conflict has been ongoing for 1–3 years and the prediction is retrospective rather than prospective.</w:t>
      </w:r>
    </w:p>
    <w:p>
      <w:pPr>
        <w:spacing w:after="160" w:before="0"/>
        <w:jc w:val="both"/>
      </w:pPr>
      <w:r>
        <w:rPr>
          <w:rFonts w:ascii="Arial" w:cs="Arial" w:eastAsia="Arial" w:hAnsi="Arial"/>
          <w:b w:val="false"/>
          <w:bCs w:val="false"/>
          <w:i w:val="false"/>
          <w:iCs w:val="false"/>
          <w:color w:val="1B2A33"/>
          <w:sz w:val="21"/>
          <w:szCs w:val="21"/>
        </w:rPr>
        <w:t xml:space="preserve">A dedicated coercive-mobilisation sub-classifier — analogous to MOD-1v2 but triggered by the pattern of rapidly rising then falling Shield and Helm scores, combined with sharply increasing s_min (sign-preserving cognitive activation failure) — would be a natural v1.2 addition.</w:t>
      </w:r>
    </w:p>
    <w:p>
      <w:pPr>
        <w:pStyle w:val="Heading2"/>
        <w:spacing w:after="110" w:before="220"/>
      </w:pPr>
      <w:r>
        <w:rPr>
          <w:rFonts w:ascii="Arial" w:cs="Arial" w:eastAsia="Arial" w:hAnsi="Arial"/>
          <w:b/>
          <w:bCs/>
          <w:color w:val="1B5E6D"/>
          <w:sz w:val="26"/>
          <w:szCs w:val="26"/>
        </w:rPr>
        <w:t xml:space="preserve">4.2 The Elite Realignment (EP-2) Undercount</w:t>
      </w:r>
    </w:p>
    <w:p>
      <w:pPr>
        <w:spacing w:after="140" w:before="0"/>
        <w:jc w:val="both"/>
      </w:pPr>
      <w:r>
        <w:rPr>
          <w:rFonts w:ascii="Arial" w:cs="Arial" w:eastAsia="Arial" w:hAnsi="Arial"/>
          <w:b w:val="false"/>
          <w:bCs w:val="false"/>
          <w:i w:val="false"/>
          <w:iCs w:val="false"/>
          <w:color w:val="1B2A33"/>
          <w:sz w:val="21"/>
          <w:szCs w:val="21"/>
        </w:rPr>
        <w:t xml:space="preserve">EP-2 is the most common actual outcome class (60 cases, 30.5% of corpus) but is predicted only 14 times. The SHARP_RECOVERY classifier assigns EP-1 (Stable Consolidation) when B_Mean is rising, and only EP-2 when B_Mean is flat or falling. In practice, many recoveries involve simultaneous bond strengthening (rising B_Mean) and elite reconfiguration (EP-2). The B_Mean heuristic for distinguishing EP-1 from EP-2 is too crude.</w:t>
      </w:r>
    </w:p>
    <w:p>
      <w:pPr>
        <w:spacing w:after="160" w:before="0"/>
        <w:jc w:val="both"/>
      </w:pPr>
      <w:r>
        <w:rPr>
          <w:rFonts w:ascii="Arial" w:cs="Arial" w:eastAsia="Arial" w:hAnsi="Arial"/>
          <w:b w:val="false"/>
          <w:bCs w:val="false"/>
          <w:i w:val="false"/>
          <w:iCs w:val="false"/>
          <w:color w:val="1B2A33"/>
          <w:sz w:val="21"/>
          <w:szCs w:val="21"/>
        </w:rPr>
        <w:t xml:space="preserve">A more discriminating approach might examine the variance in node values (σ_V): genuine consolidation tends to reduce inter-node dispersion, while elite realignment tends to produce high-variance node profiles as new elites reconstruct some domains faster than others.</w:t>
      </w:r>
    </w:p>
    <w:p>
      <w:pPr>
        <w:pStyle w:val="Heading2"/>
        <w:spacing w:after="110" w:before="220"/>
      </w:pPr>
      <w:r>
        <w:rPr>
          <w:rFonts w:ascii="Arial" w:cs="Arial" w:eastAsia="Arial" w:hAnsi="Arial"/>
          <w:b/>
          <w:bCs/>
          <w:color w:val="1B5E6D"/>
          <w:sz w:val="26"/>
          <w:szCs w:val="26"/>
        </w:rPr>
        <w:t xml:space="preserve">4.3 Social Mobilisation: An Architectural Gap</w:t>
      </w:r>
    </w:p>
    <w:p>
      <w:pPr>
        <w:spacing w:after="140" w:before="0"/>
        <w:jc w:val="both"/>
      </w:pPr>
      <w:r>
        <w:rPr>
          <w:rFonts w:ascii="Arial" w:cs="Arial" w:eastAsia="Arial" w:hAnsi="Arial"/>
          <w:b w:val="false"/>
          <w:bCs w:val="false"/>
          <w:i w:val="false"/>
          <w:iCs w:val="false"/>
          <w:color w:val="1B2A33"/>
          <w:sz w:val="21"/>
          <w:szCs w:val="21"/>
        </w:rPr>
        <w:t xml:space="preserve">EP-5 (Social Mobilisation) achieves 0% accuracy across 16 cases. The current CAMS architecture has no dedicated mechanism for detecting bottom-up legitimacy crises. Archive and Lore nodes theoretically encode this domain, but in practice their depletion is slow and often trails social mobilisation by 2–5 years. The MOD-1v2 rule (Archive/Lore min → EP-5) fires too rarely in the corpus (2 cases) and is incorrect in both instances.</w:t>
      </w:r>
    </w:p>
    <w:p>
      <w:pPr>
        <w:spacing w:after="160" w:before="0"/>
        <w:jc w:val="both"/>
      </w:pPr>
      <w:r>
        <w:rPr>
          <w:rFonts w:ascii="Arial" w:cs="Arial" w:eastAsia="Arial" w:hAnsi="Arial"/>
          <w:b w:val="false"/>
          <w:bCs w:val="false"/>
          <w:i w:val="false"/>
          <w:iCs w:val="false"/>
          <w:color w:val="1B2A33"/>
          <w:sz w:val="21"/>
          <w:szCs w:val="21"/>
        </w:rPr>
        <w:t xml:space="preserve">Social mobilisation events — general strikes, mass protests, referenda — occur within Strained or Local Node Failure regime states rather than at Systemic Crisis Entry, which means the inflection classifier may not even capture them as structural turning points. A separate social-pressure sub-index, potentially derived from the gap between Archive/Lore scores and the fast-loop mean, could provide an early signal.</w:t>
      </w:r>
    </w:p>
    <w:p>
      <w:pPr>
        <w:pStyle w:val="Heading2"/>
        <w:spacing w:after="110" w:before="220"/>
      </w:pPr>
      <w:r>
        <w:rPr>
          <w:rFonts w:ascii="Arial" w:cs="Arial" w:eastAsia="Arial" w:hAnsi="Arial"/>
          <w:b/>
          <w:bCs/>
          <w:color w:val="1B5E6D"/>
          <w:sz w:val="26"/>
          <w:szCs w:val="26"/>
        </w:rPr>
        <w:t xml:space="preserve">4.4 The "Forced Recovery" Confound (Poland, Russia)</w:t>
      </w:r>
    </w:p>
    <w:p>
      <w:pPr>
        <w:spacing w:after="140" w:before="0"/>
        <w:jc w:val="both"/>
      </w:pPr>
      <w:r>
        <w:rPr>
          <w:rFonts w:ascii="Arial" w:cs="Arial" w:eastAsia="Arial" w:hAnsi="Arial"/>
          <w:b w:val="false"/>
          <w:bCs w:val="false"/>
          <w:i w:val="false"/>
          <w:iCs w:val="false"/>
          <w:color w:val="1B2A33"/>
          <w:sz w:val="21"/>
          <w:szCs w:val="21"/>
        </w:rPr>
        <w:t xml:space="preserve">Poland achieves only 12% accuracy — the worst in the corpus. The primary reason is the "forced recovery" confound: when an occupying power imposes structural reconstruction (Stalinist collectivisation, post-war industry transfers), CAMS node values rise, triggering SHARP_RECOVERY → EP-1. The actual historical EP is EP-4 (coercive state action) or EP-6 (institutional replacement). This is not a model failure in the narrow sense — structural coherence does genuinely increase under certain coercive programmes — but it represents an unresolved semantic ambiguity between "structural stability" and "political legitimacy." The distinction requires a legitimacy-decomposition step that v1.1 does not provide.</w:t>
      </w:r>
    </w:p>
    <w:p>
      <w:pPr>
        <w:spacing w:after="160" w:before="0"/>
        <w:jc w:val="both"/>
      </w:pPr>
      <w:r>
        <w:rPr>
          <w:rFonts w:ascii="Arial" w:cs="Arial" w:eastAsia="Arial" w:hAnsi="Arial"/>
          <w:b w:val="false"/>
          <w:bCs w:val="false"/>
          <w:i w:val="false"/>
          <w:iCs w:val="false"/>
          <w:color w:val="1B2A33"/>
          <w:sz w:val="21"/>
          <w:szCs w:val="21"/>
        </w:rPr>
        <w:t xml:space="preserve">Russia's 18% accuracy reflects a related problem: a large fraction of Russia's 227-year corpus consists of NODE_FAILURE_CROSSING events with Hands as minimum node, generating EP-3 predictions for what are in fact multi-year periods of bureaucratic stagnation, minor peasant revolt, and early capitalist disruption (EP-2 or EP-5). Russia's chronic structural stress pattern saturates the NODE_FAILURE_CROSSING detector and makes fine-grained EP discrimination very difficult.</w:t>
      </w:r>
    </w:p>
    <w:p>
      <w:pPr>
        <w:pStyle w:val="Heading2"/>
        <w:spacing w:after="110" w:before="220"/>
      </w:pPr>
      <w:r>
        <w:rPr>
          <w:rFonts w:ascii="Arial" w:cs="Arial" w:eastAsia="Arial" w:hAnsi="Arial"/>
          <w:b/>
          <w:bCs/>
          <w:color w:val="1B5E6D"/>
          <w:sz w:val="26"/>
          <w:szCs w:val="26"/>
        </w:rPr>
        <w:t xml:space="preserve">4.5 Where the Model Works</w:t>
      </w:r>
    </w:p>
    <w:p>
      <w:pPr>
        <w:spacing w:after="140" w:before="0"/>
        <w:jc w:val="both"/>
      </w:pPr>
      <w:r>
        <w:rPr>
          <w:rFonts w:ascii="Arial" w:cs="Arial" w:eastAsia="Arial" w:hAnsi="Arial"/>
          <w:b w:val="false"/>
          <w:bCs w:val="false"/>
          <w:i w:val="false"/>
          <w:iCs w:val="false"/>
          <w:color w:val="1B2A33"/>
          <w:sz w:val="21"/>
          <w:szCs w:val="21"/>
        </w:rPr>
        <w:t xml:space="preserve">The results are not uniformly negative. EP-1 (Stable Consolidation) at 95% accuracy — with 20 of 21 cases correctly predicted — demonstrates that the SHARP_RECOVERY inflection type is a genuine structural attractor for consolidation outcomes. When a society is structurally recovering after a structural low and bond strength is increasing, the near-certain near-term outcome is domestic consolidation. This result is robust across societies (Norway 1934, 1945, 1993; Australia 1934, 1993; Chile 1892, 1908, 1933; Germany 1948; UK 1927).</w:t>
      </w:r>
    </w:p>
    <w:p>
      <w:pPr>
        <w:spacing w:after="160" w:before="0"/>
        <w:jc w:val="both"/>
      </w:pPr>
      <w:r>
        <w:rPr>
          <w:rFonts w:ascii="Arial" w:cs="Arial" w:eastAsia="Arial" w:hAnsi="Arial"/>
          <w:b w:val="false"/>
          <w:bCs w:val="false"/>
          <w:i w:val="false"/>
          <w:iCs w:val="false"/>
          <w:color w:val="1B2A33"/>
          <w:sz w:val="21"/>
          <w:szCs w:val="21"/>
        </w:rPr>
        <w:t xml:space="preserve">EP-3 (Economic Shock) at 62% and EP-6 (Institutional Collapse) at 67% confirm that productive-node failure and multi-domain simultaneous collapse are structurally legible precursors to their respective outcome classes. The SYSTEMIC_CRISIS_ENTRY → EP-6 chain works well when the crisis truly is a governance collapse (Germany 1918, Chile 1931, Russia 1917, 1991) but overfires during wartime crises where the structural signature of collapse is present but the immediate observable outcome is armed conflict, not regime dissolution.</w:t>
      </w:r>
    </w:p>
    <w:p>
      <w:pPr>
        <w:pStyle w:val="Heading2"/>
        <w:spacing w:after="110" w:before="220"/>
      </w:pPr>
      <w:r>
        <w:rPr>
          <w:rFonts w:ascii="Arial" w:cs="Arial" w:eastAsia="Arial" w:hAnsi="Arial"/>
          <w:b/>
          <w:bCs/>
          <w:color w:val="1B5E6D"/>
          <w:sz w:val="26"/>
          <w:szCs w:val="26"/>
        </w:rPr>
        <w:t xml:space="preserve">4.6 Real-Prediction vs. In-Sample Claims</w:t>
      </w:r>
    </w:p>
    <w:p>
      <w:pPr>
        <w:spacing w:after="160" w:before="0"/>
        <w:jc w:val="both"/>
      </w:pPr>
      <w:r>
        <w:rPr>
          <w:rFonts w:ascii="Arial" w:cs="Arial" w:eastAsia="Arial" w:hAnsi="Arial"/>
          <w:b w:val="false"/>
          <w:bCs w:val="false"/>
          <w:i w:val="false"/>
          <w:iCs w:val="false"/>
          <w:color w:val="1B2A33"/>
          <w:sz w:val="21"/>
          <w:szCs w:val="21"/>
        </w:rPr>
        <w:t xml:space="preserve">The accuracy figures reported here are not identical to those claimed in the v1.1 specification. The spec reports 71.4% for SHARP_RECOVERY (tested on a 7-case in-sample set), 60% for SYSTEMIC_CRISIS_ENTRY, and 75% for COLLAPSE post-MOD-1v2. The blinded out-of-sample figures here are 33%, 20%, and 37% respectively — substantially lower across all types. This is the expected direction of divergence between in-sample calibration and out-of-sample validation, and is the primary reason this experiment was run. The v1.0.1 calibration set consisted primarily of European interwar and post-Soviet cases; the broader 7-society corpus introduces more armed-conflict events (which dominate the error budget) and longer time horizons.</w:t>
      </w:r>
    </w:p>
    <w:p>
      <w:pPr>
        <w:spacing w:after="120" w:before="0"/>
      </w:pPr>
      <w:r>
        <w:t xml:space="preserve"/>
      </w:r>
    </w:p>
    <w:p>
      <w:pPr>
        <w:pStyle w:val="Heading1"/>
        <w:spacing w:after="140" w:before="280"/>
      </w:pPr>
      <w:r>
        <w:rPr>
          <w:rFonts w:ascii="Arial" w:cs="Arial" w:eastAsia="Arial" w:hAnsi="Arial"/>
          <w:b/>
          <w:bCs/>
          <w:color w:val="1B5E6D"/>
          <w:sz w:val="32"/>
          <w:szCs w:val="32"/>
        </w:rPr>
        <w:t xml:space="preserve">5. Conclusions</w:t>
      </w:r>
    </w:p>
    <w:p>
      <w:pPr>
        <w:spacing w:after="140" w:before="0"/>
        <w:jc w:val="both"/>
      </w:pPr>
      <w:r>
        <w:rPr>
          <w:rFonts w:ascii="Arial" w:cs="Arial" w:eastAsia="Arial" w:hAnsi="Arial"/>
          <w:b w:val="false"/>
          <w:bCs w:val="false"/>
          <w:i w:val="false"/>
          <w:iCs w:val="false"/>
          <w:color w:val="1B2A33"/>
          <w:sz w:val="21"/>
          <w:szCs w:val="21"/>
        </w:rPr>
        <w:t xml:space="preserve">CAMS v1.1 is validated as a structural classifier for economic disruption (EP-3) and institutional collapse (EP-6) outcomes, and achieves near-perfect prediction of post-recovery consolidation (EP-1). It is not validated as a general-purpose political epiphenomenon predictor. The dominant failure modes are: (1) systematic inability to detect armed conflict before its depletion phase; (2) complete blindness to social mobilisation; (3) forced-recovery confounds in occupied or coercively managed societies; and (4) overprediction of elite realignment from recovery signals.</w:t>
      </w:r>
    </w:p>
    <w:p>
      <w:pPr>
        <w:spacing w:after="140" w:before="0"/>
        <w:jc w:val="both"/>
      </w:pPr>
      <w:r>
        <w:rPr>
          <w:rFonts w:ascii="Arial" w:cs="Arial" w:eastAsia="Arial" w:hAnsi="Arial"/>
          <w:b w:val="false"/>
          <w:bCs w:val="false"/>
          <w:i w:val="false"/>
          <w:iCs w:val="false"/>
          <w:color w:val="1B2A33"/>
          <w:sz w:val="21"/>
          <w:szCs w:val="21"/>
        </w:rPr>
        <w:t xml:space="preserve">These findings are diagnostically useful. They define a specific development roadmap for v1.2: a coercive-mobilisation sub-index derived from Shield/Helm trajectory patterns, a social-pressure sub-index from Archive/Lore gap dynamics, and a legitimacy-decomposition module to separate structural coherence from political legitimacy under coercive regimes.</w:t>
      </w:r>
    </w:p>
    <w:p>
      <w:pPr>
        <w:spacing w:after="140" w:before="0"/>
        <w:jc w:val="both"/>
      </w:pPr>
      <w:r>
        <w:rPr>
          <w:rFonts w:ascii="Arial" w:cs="Arial" w:eastAsia="Arial" w:hAnsi="Arial"/>
          <w:b w:val="false"/>
          <w:bCs w:val="false"/>
          <w:i w:val="false"/>
          <w:iCs w:val="false"/>
          <w:color w:val="1B2A33"/>
          <w:sz w:val="21"/>
          <w:szCs w:val="21"/>
        </w:rPr>
        <w:t xml:space="preserve">The blinded test protocol succeeded. No national identities or calendar years were available to the prediction engine, and the predictions were generated mechanically before unsealing the answer key. The SHA-256 sealed answer key (Dataset B: fd6103...a04) confirms the integrity of the blinding.</w:t>
      </w:r>
    </w:p>
    <w:p>
      <w:pPr>
        <w:spacing w:after="240" w:before="0"/>
        <w:jc w:val="both"/>
      </w:pPr>
      <w:r>
        <w:rPr>
          <w:rFonts w:ascii="Arial" w:cs="Arial" w:eastAsia="Arial" w:hAnsi="Arial"/>
          <w:b w:val="false"/>
          <w:bCs w:val="false"/>
          <w:i w:val="false"/>
          <w:iCs w:val="false"/>
          <w:color w:val="1B2A33"/>
          <w:sz w:val="21"/>
          <w:szCs w:val="21"/>
        </w:rPr>
        <w:t xml:space="preserve">The experiment also validates the Phantom Type II regime and the v1.1 λ₂-conditioned regime classifier as structural pattern recognition systems. The regime assignment step achieves excellent coverage (zero unclassified records across 1,124 society-years) and historically coherent Phantom Type II and Freeze/Collapse assignments. The EP prediction layer, grafted onto the regime classifier, is the component requiring further development before it can serve as an independent predictive instrument.</w:t>
      </w:r>
    </w:p>
    <w:p>
      <w:pPr>
        <w:pBdr>
          <w:bottom w:val="single" w:color="1B5E6D" w:sz="6" w:space="1"/>
        </w:pBdr>
        <w:spacing w:after="80" w:before="80"/>
      </w:pPr>
      <w:r>
        <w:t xml:space="preserve"/>
      </w:r>
    </w:p>
    <w:p>
      <w:pPr>
        <w:spacing w:after="60" w:before="0"/>
      </w:pPr>
      <w:r>
        <w:t xml:space="preserve"/>
      </w:r>
    </w:p>
    <w:p>
      <w:pPr>
        <w:pStyle w:val="Heading1"/>
        <w:spacing w:after="140" w:before="280"/>
      </w:pPr>
      <w:r>
        <w:rPr>
          <w:rFonts w:ascii="Arial" w:cs="Arial" w:eastAsia="Arial" w:hAnsi="Arial"/>
          <w:b/>
          <w:bCs/>
          <w:color w:val="1B5E6D"/>
          <w:sz w:val="32"/>
          <w:szCs w:val="32"/>
        </w:rPr>
        <w:t xml:space="preserve">6. Author Notes</w:t>
      </w:r>
    </w:p>
    <w:p>
      <w:pPr>
        <w:spacing w:after="60" w:before="0"/>
        <w:jc w:val="left"/>
      </w:pPr>
      <w:r>
        <w:rPr>
          <w:rFonts w:ascii="Arial" w:cs="Arial" w:eastAsia="Arial" w:hAnsi="Arial"/>
          <w:b w:val="false"/>
          <w:bCs w:val="false"/>
          <w:i w:val="false"/>
          <w:iCs w:val="false"/>
          <w:color w:val="4A6572"/>
          <w:sz w:val="18"/>
          <w:szCs w:val="18"/>
        </w:rPr>
        <w:t xml:space="preserve">Dataset B SHA-256 (Answer Key): fd6103d8ed3900dcd093963bcc17ee224219b3b6828b467db2e2372901327e04</w:t>
      </w:r>
    </w:p>
    <w:p>
      <w:pPr>
        <w:spacing w:after="60" w:before="0"/>
        <w:jc w:val="left"/>
      </w:pPr>
      <w:r>
        <w:rPr>
          <w:rFonts w:ascii="Arial" w:cs="Arial" w:eastAsia="Arial" w:hAnsi="Arial"/>
          <w:b w:val="false"/>
          <w:bCs w:val="false"/>
          <w:i w:val="false"/>
          <w:iCs w:val="false"/>
          <w:color w:val="4A6572"/>
          <w:sz w:val="18"/>
          <w:szCs w:val="18"/>
        </w:rPr>
        <w:t xml:space="preserve">Dataset B SHA-256 (Blind Test): — (sealed separately)</w:t>
      </w:r>
    </w:p>
    <w:p>
      <w:pPr>
        <w:spacing w:after="60" w:before="0"/>
        <w:jc w:val="left"/>
      </w:pPr>
      <w:r>
        <w:rPr>
          <w:rFonts w:ascii="Arial" w:cs="Arial" w:eastAsia="Arial" w:hAnsi="Arial"/>
          <w:b w:val="false"/>
          <w:bCs w:val="false"/>
          <w:i w:val="false"/>
          <w:iCs w:val="false"/>
          <w:color w:val="4A6572"/>
          <w:sz w:val="18"/>
          <w:szCs w:val="18"/>
        </w:rPr>
        <w:t xml:space="preserve">Ground-truth EP assignments by corresponding author. Historical sources: standard historiographical consensus; contested cases rated Medium confidence and reported in scored CSV.</w:t>
      </w:r>
    </w:p>
    <w:p>
      <w:pPr>
        <w:spacing w:after="60" w:before="0"/>
        <w:jc w:val="left"/>
      </w:pPr>
      <w:r>
        <w:rPr>
          <w:rFonts w:ascii="Arial" w:cs="Arial" w:eastAsia="Arial" w:hAnsi="Arial"/>
          <w:b w:val="false"/>
          <w:bCs w:val="false"/>
          <w:i w:val="false"/>
          <w:iCs w:val="false"/>
          <w:color w:val="4A6572"/>
          <w:sz w:val="18"/>
          <w:szCs w:val="18"/>
        </w:rPr>
        <w:t xml:space="preserve">All data and code available at: Neural Nations Project repository. Scored EP prediction table: JUNO_B_EP_Scored.csv.</w:t>
      </w:r>
    </w:p>
    <w:p>
      <w:pPr>
        <w:spacing w:after="120" w:before="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6D" w:sz="4" w:space="4"/>
      </w:pBdr>
      <w:tabs>
        <w:tab w:val="right" w:pos="9360"/>
      </w:tabs>
    </w:pPr>
    <w:r>
      <w:rPr>
        <w:rFonts w:ascii="Arial" w:cs="Arial" w:eastAsia="Arial" w:hAnsi="Arial"/>
        <w:color w:val="4A6572"/>
        <w:sz w:val="16"/>
        <w:szCs w:val="16"/>
      </w:rPr>
      <w:t xml:space="preserve">CONFIDENTIAL — Pre-publication draft</w:t>
    </w:r>
    <w:r>
      <w:rPr>
        <w:rFonts w:ascii="Arial" w:cs="Arial" w:eastAsia="Arial" w:hAnsi="Arial"/>
        <w:sz w:val="16"/>
        <w:szCs w:val="16"/>
      </w:rPr>
      <w:t xml:space="preserve">	</w:t>
    </w:r>
    <w:r>
      <w:rPr>
        <w:rFonts w:ascii="Arial" w:cs="Arial" w:eastAsia="Arial" w:hAnsi="Arial"/>
        <w:color w:val="4A6572"/>
        <w:sz w:val="16"/>
        <w:szCs w:val="16"/>
      </w:rPr>
      <w:t xml:space="preserve">Page </w:t>
    </w:r>
    <w:r>
      <w:rPr>
        <w:rFonts w:ascii="Arial" w:cs="Arial" w:eastAsia="Arial" w:hAnsi="Arial"/>
        <w:color w:val="4A65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JUNO v1.0-Final formulation published 7 June 2026; v1.0.1 Recalibration Patch 12 June 2026; v1.1 Amended Formulation 30 June 2026. Neural Nations Project.</w:t>
      </w:r>
    </w:p>
  </w:footnote>
  <w:footnote w:id="2">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SHA-256 sealed answer key: Dataset B (7 societies) fd6103d8ed3900dcd093963bcc17ee224219b3b6828b467db2e2372901327e04. Pre-registration timestamp: 30 June 2026.</w:t>
      </w:r>
    </w:p>
  </w:footnote>
  <w:footnote w:id="3">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Colombia excluded: chronic armed-conflict confound throughout test window. Argentina excluded: Archive decay affects &gt;40% of scored window prior to 1935; multilingual prior not established. Per CAMS v1.1 §6.2.</w:t>
      </w:r>
    </w:p>
  </w:footnote>
  <w:footnote w:id="4">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MOD-1v2 node groupings: Productive/Exchange (Hands, Flow, Craft) → EP-3; Coercive Capacity (Shield) → EP-4; Governing Authority (Helm, Stewards) → EP-6; Legitimacy/Knowledge (Archive, Lore) → EP-5. Tie-breaking rules per §5.4.</w:t>
      </w:r>
    </w:p>
  </w:footnote>
  <w:footnote w:id="5">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Between-run scorer drift documented at up to 4.9 node-value points (CAMS Validation Report, 12 June 2026). Ground-truth EP assignments by the corresponding author using standard historiographical consensus; contested cases flagged at Medium confidence.</w:t>
      </w:r>
    </w:p>
  </w:footnote>
  <w:footnote w:id="6">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Armed conflict systematically raises Shield Capacity in the early mobilisation phase before structural depletion. This creates a window where CAMS measures rising structural coherence while EP-4 is already the observable outcome.</w:t>
      </w:r>
    </w:p>
  </w:footnote>
  <w:footnote w:id="7">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EP-2 base rate: 60/197 = 30.5%. Random 6-class baseline: 16.7%. Protocol meaningful threshold: ≥50%. Protocol strong-validation threshold: ≥65%.</w:t>
      </w:r>
    </w:p>
  </w:footnote>
  <w:footnote w:id="8">
    <w:p>
      <w:pPr>
        <w:spacing w:after="120" w:before="0"/>
        <w:jc w:val="left"/>
      </w:pPr>
      <w:r>
        <w:rPr>
          <w:rStyle w:val="FootnoteReference"/>
        </w:rPr>
        <w:footnoteRef/>
      </w:r>
      <w:r>
        <w:rPr>
          <w:rFonts w:ascii="Arial" w:cs="Arial" w:eastAsia="Arial" w:hAnsi="Arial"/>
          <w:b w:val="false"/>
          <w:bCs w:val="false"/>
          <w:i w:val="false"/>
          <w:iCs w:val="false"/>
          <w:color w:val="1B2A33"/>
          <w:sz w:val="17"/>
          <w:szCs w:val="17"/>
        </w:rPr>
        <w:t xml:space="preserve">MOD-3 PEAK_STABILITY: 2/4 correct. Small N precludes statistical inference. The two failures were Norway 2015 (predicted EP-5 via sharply falling λ2; actual EP-2 immigration realignment) and Norway 2016 (predicted EP-4; actual EP-2). Suggest expanding validation set.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6D" w:sz="4" w:space="4"/>
      </w:pBdr>
      <w:jc w:val="right"/>
    </w:pPr>
    <w:r>
      <w:rPr>
        <w:rFonts w:ascii="Arial" w:cs="Arial" w:eastAsia="Arial" w:hAnsi="Arial"/>
        <w:color w:val="4A6572"/>
        <w:sz w:val="16"/>
        <w:szCs w:val="16"/>
      </w:rPr>
      <w:t xml:space="preserve">CAMS-CAN Blinded Validation — Neural Nations Project — 30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B5E6D"/>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1B5E6D"/>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A65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2026-06-30T01:18:46.534Z</dcterms:created>
  <dcterms:modified xsi:type="dcterms:W3CDTF">2026-06-30T01:18:46.534Z</dcterms:modified>
</cp:coreProperties>
</file>

<file path=docProps/custom.xml><?xml version="1.0" encoding="utf-8"?>
<Properties xmlns="http://schemas.openxmlformats.org/officeDocument/2006/custom-properties" xmlns:vt="http://schemas.openxmlformats.org/officeDocument/2006/docPropsVTypes"/>
</file>