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2FF4B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№3</w:t>
      </w:r>
    </w:p>
    <w:p w14:paraId="3F55EEBD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РЕАЛИЗАЦИЯ МИКРОСЕРВИСНОЙ АРХИТЕКТУРЫ</w:t>
      </w:r>
    </w:p>
    <w:p w14:paraId="715868BE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D998FDA">
      <w:pPr>
        <w:rPr>
          <w:rFonts w:hint="default" w:ascii="Times New Roman" w:hAnsi="Times New Roman" w:cs="Times New Roman"/>
          <w:b w:val="0"/>
          <w:bCs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Выполнил: </w:t>
      </w:r>
      <w:r>
        <w:rPr>
          <w:rFonts w:hint="default" w:ascii="Times New Roman" w:hAnsi="Times New Roman"/>
          <w:b w:val="0"/>
          <w:bCs w:val="0"/>
          <w:sz w:val="28"/>
          <w:szCs w:val="28"/>
          <w:shd w:val="clear" w:color="auto" w:fill="auto"/>
          <w:lang w:val="ru-RU"/>
        </w:rPr>
        <w:t>Савельев Аркадий Валерьевич, группа 22ГЛ-09.03.01.01-o1</w:t>
      </w:r>
    </w:p>
    <w:p w14:paraId="6DAE61D1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19562E2F">
      <w:pPr>
        <w:rPr>
          <w:rFonts w:ascii="Times New Roman" w:hAnsi="Times New Roman" w:cs="Times New Roman"/>
          <w:sz w:val="28"/>
          <w:szCs w:val="28"/>
        </w:rPr>
      </w:pPr>
      <w:r>
        <w:rPr>
          <w:rStyle w:val="5"/>
          <w:rFonts w:ascii="Times New Roman" w:hAnsi="Times New Roman" w:cs="Times New Roman"/>
          <w:b/>
          <w:bCs/>
          <w:color w:val="auto"/>
        </w:rPr>
        <w:t>Цель работы:</w:t>
      </w:r>
      <w:r>
        <w:rPr>
          <w:rStyle w:val="5"/>
          <w:rFonts w:ascii="Times New Roman" w:hAnsi="Times New Roman" w:cs="Times New Roman"/>
          <w:color w:val="auto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создание микросервисной архитектуры по заранее составленному проекту</w:t>
      </w:r>
    </w:p>
    <w:p w14:paraId="469BEDA0">
      <w:pPr>
        <w:rPr>
          <w:rFonts w:ascii="Times New Roman" w:hAnsi="Times New Roman" w:cs="Times New Roman"/>
          <w:sz w:val="28"/>
          <w:szCs w:val="28"/>
        </w:rPr>
      </w:pPr>
    </w:p>
    <w:p w14:paraId="4A3731F4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Style w:val="6"/>
          <w:rFonts w:hint="default"/>
          <w:lang w:val="ru-RU"/>
        </w:rPr>
        <w:t xml:space="preserve">User Service </w:t>
      </w:r>
      <w:r>
        <w:rPr>
          <w:rFonts w:hint="default" w:ascii="Times New Roman" w:hAnsi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/>
          <w:sz w:val="28"/>
          <w:szCs w:val="28"/>
          <w:lang w:val="ru-RU"/>
        </w:rPr>
        <w:t>User Service отвечает за управление учетными записями пользователей системы. Он реализует операции получения информации о пользователях по их идентификаторам. Сервис использует gRPC протокол для обеспечения эффективного межсервисного взаимодействия с использованием Protocol Buffers для сериализации данных</w:t>
      </w:r>
    </w:p>
    <w:p w14:paraId="35739502">
      <w:pPr>
        <w:numPr>
          <w:numId w:val="0"/>
        </w:numPr>
        <w:rPr>
          <w:rFonts w:hint="default" w:ascii="Times New Roman" w:hAnsi="Times New Roman"/>
          <w:sz w:val="28"/>
          <w:szCs w:val="28"/>
          <w:lang w:val="ru-RU"/>
        </w:rPr>
      </w:pPr>
    </w:p>
    <w:p w14:paraId="516B5FB1">
      <w:pPr>
        <w:numPr>
          <w:numId w:val="0"/>
        </w:num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Объявляется класс User с информацией, относящейся к регистрационным данным пользователя: уникальный идентификатор (user_id), имя (name), электронная почта (email) и номер телефона (phone). Такой подход позволяет проще сохранять информацию о пользователях в системе и открывает новые возможности масштабирования приложения.</w:t>
      </w:r>
    </w:p>
    <w:p w14:paraId="5FFA0790">
      <w:pPr>
        <w:numPr>
          <w:numId w:val="0"/>
        </w:numPr>
        <w:rPr>
          <w:rFonts w:hint="default" w:ascii="Times New Roman" w:hAnsi="Times New Roman"/>
          <w:sz w:val="28"/>
          <w:szCs w:val="28"/>
          <w:lang w:val="en-US"/>
        </w:rPr>
      </w:pPr>
    </w:p>
    <w:p w14:paraId="1D5BCC79">
      <w:pPr>
        <w:numPr>
          <w:numId w:val="0"/>
        </w:num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При получении запроса через gRPC метод GetUser с указанием user_id сервис выполняет поиск пользователя в базе данных SQLite. Если пользователь найден, возвращается полная информация о нем в формате UserResponse, содержащая все регистрационные данные. В случае отсутствия пользователя с указанным идентификатором возвращается ошибка NOT_FOUND через механизм gRPC контекста.</w:t>
      </w:r>
    </w:p>
    <w:p w14:paraId="3D42B2C9">
      <w:pPr>
        <w:numPr>
          <w:numId w:val="0"/>
        </w:numPr>
        <w:rPr>
          <w:rFonts w:hint="default" w:ascii="Times New Roman" w:hAnsi="Times New Roman"/>
          <w:sz w:val="28"/>
          <w:szCs w:val="28"/>
          <w:lang w:val="en-US"/>
        </w:rPr>
      </w:pPr>
    </w:p>
    <w:p w14:paraId="7D41EF8E">
      <w:pPr>
        <w:numPr>
          <w:numId w:val="0"/>
        </w:num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При первом запуске сервиса автоматически инициализируются тестовые данные - три пользователя с предопределенными идентификаторами. Это обеспечивает возможность быстрого тестирования системы без необходимости ручного создания пользователей.</w:t>
      </w:r>
    </w:p>
    <w:p w14:paraId="0930368E">
      <w:pPr>
        <w:numPr>
          <w:numId w:val="0"/>
        </w:numPr>
        <w:rPr>
          <w:rFonts w:hint="default" w:ascii="Times New Roman" w:hAnsi="Times New Roman"/>
          <w:sz w:val="28"/>
          <w:szCs w:val="28"/>
          <w:lang w:val="en-US"/>
        </w:rPr>
      </w:pPr>
    </w:p>
    <w:p w14:paraId="6A5C172D">
      <w:pPr>
        <w:numPr>
          <w:numId w:val="0"/>
        </w:num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User Service полностью изолирован от остальных сервисов и взаимодействует с ними только через gRPC API, обеспечивая надёжность и независимость при масштабировании. Сервис использует собственную базу данных SQLite (`users.db`), что гарантирует изоляцию данных и возможность независимого развертывания.</w:t>
      </w:r>
    </w:p>
    <w:p w14:paraId="1BFCC62F">
      <w:pPr>
        <w:numPr>
          <w:numId w:val="0"/>
        </w:numPr>
        <w:rPr>
          <w:rFonts w:hint="default" w:ascii="Times New Roman" w:hAnsi="Times New Roman"/>
          <w:sz w:val="28"/>
          <w:szCs w:val="28"/>
          <w:lang w:val="en-US"/>
        </w:rPr>
      </w:pPr>
    </w:p>
    <w:p w14:paraId="49055848">
      <w:pPr>
        <w:numPr>
          <w:numId w:val="0"/>
        </w:numPr>
        <w:rPr>
          <w:rFonts w:hint="default" w:ascii="Times New Roman" w:hAnsi="Times New Roman"/>
          <w:sz w:val="28"/>
          <w:szCs w:val="28"/>
          <w:lang w:val="en-US"/>
        </w:rPr>
      </w:pPr>
    </w:p>
    <w:p w14:paraId="620C642B">
      <w:pPr>
        <w:numPr>
          <w:numId w:val="0"/>
        </w:numPr>
      </w:pPr>
      <w:r>
        <w:drawing>
          <wp:inline distT="0" distB="0" distL="114300" distR="114300">
            <wp:extent cx="5271135" cy="3738880"/>
            <wp:effectExtent l="0" t="0" r="1905" b="1016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138A8">
      <w:pPr>
        <w:numPr>
          <w:numId w:val="0"/>
        </w:numPr>
      </w:pPr>
    </w:p>
    <w:p w14:paraId="320CDC91">
      <w:pPr>
        <w:numPr>
          <w:numId w:val="0"/>
        </w:numPr>
      </w:pPr>
      <w:r>
        <w:drawing>
          <wp:inline distT="0" distB="0" distL="114300" distR="114300">
            <wp:extent cx="5264785" cy="2578100"/>
            <wp:effectExtent l="0" t="0" r="8255" b="1270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92FB2">
      <w:pPr>
        <w:numPr>
          <w:numId w:val="0"/>
        </w:numPr>
      </w:pPr>
    </w:p>
    <w:p w14:paraId="00EF0546">
      <w:pPr>
        <w:numPr>
          <w:numId w:val="0"/>
        </w:numPr>
      </w:pPr>
      <w:r>
        <w:drawing>
          <wp:inline distT="0" distB="0" distL="114300" distR="114300">
            <wp:extent cx="5266690" cy="2386330"/>
            <wp:effectExtent l="0" t="0" r="6350" b="635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4A778">
      <w:pPr>
        <w:numPr>
          <w:numId w:val="0"/>
        </w:numPr>
      </w:pPr>
    </w:p>
    <w:p w14:paraId="0B4F972E">
      <w:pPr>
        <w:numPr>
          <w:numId w:val="0"/>
        </w:numPr>
      </w:pPr>
      <w:r>
        <w:drawing>
          <wp:inline distT="0" distB="0" distL="114300" distR="114300">
            <wp:extent cx="5266690" cy="1594485"/>
            <wp:effectExtent l="0" t="0" r="6350" b="571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9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AAFF9">
      <w:pPr>
        <w:numPr>
          <w:numId w:val="0"/>
        </w:numPr>
      </w:pPr>
    </w:p>
    <w:p w14:paraId="1037F42C">
      <w:pPr>
        <w:numPr>
          <w:numId w:val="0"/>
        </w:numPr>
        <w:rPr>
          <w:rFonts w:hint="default"/>
          <w:lang w:val="en-US"/>
        </w:rPr>
      </w:pPr>
    </w:p>
    <w:p w14:paraId="14B27087">
      <w:pPr>
        <w:pStyle w:val="2"/>
        <w:numPr>
          <w:ilvl w:val="0"/>
          <w:numId w:val="1"/>
        </w:num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Event Service</w:t>
      </w:r>
    </w:p>
    <w:p w14:paraId="3C3A2422">
      <w:pPr>
        <w:rPr>
          <w:rFonts w:hint="default"/>
          <w:lang w:val="ru-RU"/>
        </w:rPr>
      </w:pPr>
      <w:r>
        <w:rPr>
          <w:rFonts w:hint="default"/>
          <w:lang w:val="ru-RU"/>
        </w:rPr>
        <w:t>Event Service управляет информацией о мероприятиях, их доступности и резервировании мест. Сервис реализует полный жизненный цикл управления местами: проверку доступности, резервирование при создании бронирования и освобождение при отмене. Использование gRPC обеспечивает высокую производительность при частых запросах на проверку доступности мест.</w:t>
      </w:r>
    </w:p>
    <w:p w14:paraId="56969D4B">
      <w:pPr>
        <w:rPr>
          <w:rFonts w:hint="default"/>
          <w:lang w:val="ru-RU"/>
        </w:rPr>
      </w:pPr>
    </w:p>
    <w:p w14:paraId="39C37B6A">
      <w:pPr>
        <w:rPr>
          <w:rFonts w:hint="default"/>
          <w:lang w:val="ru-RU"/>
        </w:rPr>
      </w:pPr>
      <w:r>
        <w:rPr>
          <w:rFonts w:hint="default"/>
          <w:lang w:val="ru-RU"/>
        </w:rPr>
        <w:t>Объявляются два основных класса для работы с данными: класс Event содержит информацию о мероприятии (идентификатор, название, дата проведения, место проведения, цена билета, общее количество мест), а класс Seat представляет отдельное место с информацией о его статусе резервирования и привязке к бронированию. Такая структура данных позволяет эффективно отслеживать состояние каждого места и управлять доступностью в реальном времени.</w:t>
      </w:r>
    </w:p>
    <w:p w14:paraId="1C6AA3FC">
      <w:pPr>
        <w:rPr>
          <w:rFonts w:hint="default"/>
          <w:lang w:val="ru-RU"/>
        </w:rPr>
      </w:pPr>
    </w:p>
    <w:p w14:paraId="25F28401">
      <w:pPr>
        <w:rPr>
          <w:rFonts w:hint="default"/>
          <w:lang w:val="ru-RU"/>
        </w:rPr>
      </w:pPr>
      <w:r>
        <w:rPr>
          <w:rFonts w:hint="default"/>
          <w:lang w:val="ru-RU"/>
        </w:rPr>
        <w:t>При получении запроса CheckAvailability сервис проверяет количество свободных мест для указанного мероприятия и сравнивает его с запрашиваемым количеством билетов. Возвращается информация о доступности, общем количестве свободных мест и полная информация о мероприятии через вложенное сообщение EventInfo. Это позволяет Booking Service принимать решение о возможности создания бронирования без дополнительных запросов.</w:t>
      </w:r>
    </w:p>
    <w:p w14:paraId="061710B1">
      <w:pPr>
        <w:rPr>
          <w:rFonts w:hint="default"/>
          <w:lang w:val="ru-RU"/>
        </w:rPr>
      </w:pPr>
    </w:p>
    <w:p w14:paraId="131C49C8">
      <w:pPr>
        <w:rPr>
          <w:rFonts w:hint="default"/>
          <w:lang w:val="ru-RU"/>
        </w:rPr>
      </w:pPr>
      <w:r>
        <w:rPr>
          <w:rFonts w:hint="default"/>
          <w:lang w:val="ru-RU"/>
        </w:rPr>
        <w:t>Метод ReserveSeats выполняет атомарное резервирование мест - выбирает необходимое количество свободных мест, помечает их как зарезервированные и привязывает к идентификатору бронирования. В случае недостаточного количества мест возвращается детальное сообщение об ошибке. При успешном резервировании возвращаются номера зарезервированных мест для последующего отображения пользователю.</w:t>
      </w:r>
    </w:p>
    <w:p w14:paraId="3012021E">
      <w:pPr>
        <w:rPr>
          <w:rFonts w:hint="default"/>
          <w:lang w:val="ru-RU"/>
        </w:rPr>
      </w:pPr>
    </w:p>
    <w:p w14:paraId="124E2192">
      <w:pPr>
        <w:rPr>
          <w:rFonts w:hint="default"/>
          <w:lang w:val="ru-RU"/>
        </w:rPr>
      </w:pPr>
      <w:r>
        <w:rPr>
          <w:rFonts w:hint="default"/>
          <w:lang w:val="ru-RU"/>
        </w:rPr>
        <w:t>Метод ReleaseSeats обеспечивает освобождение мест при отмене бронирования. Сервис находит все места, привязанные к указанному идентификатору бронирования, и снимает с них статус резервирования. Это гарантирует, что места снова становятся доступными для других бронирований.</w:t>
      </w:r>
    </w:p>
    <w:p w14:paraId="43F26226">
      <w:pPr>
        <w:rPr>
          <w:rFonts w:hint="default"/>
          <w:lang w:val="ru-RU"/>
        </w:rPr>
      </w:pPr>
    </w:p>
    <w:p w14:paraId="6F7F0924">
      <w:pPr>
        <w:rPr>
          <w:rFonts w:hint="default"/>
          <w:lang w:val="ru-RU"/>
        </w:rPr>
      </w:pPr>
      <w:r>
        <w:rPr>
          <w:rFonts w:hint="default"/>
          <w:lang w:val="ru-RU"/>
        </w:rPr>
        <w:t>При первом запуске автоматически создаются два тестовых мероприятия с полным набором мест (100 мест для концерта, 150 мест для театральной постановки). Каждое место имеет уникальный номер, что позволяет точно отслеживать резервирование конкретных мест.</w:t>
      </w:r>
    </w:p>
    <w:p w14:paraId="0F6BBA01">
      <w:pPr>
        <w:rPr>
          <w:rFonts w:hint="default"/>
          <w:lang w:val="ru-RU"/>
        </w:rPr>
      </w:pPr>
    </w:p>
    <w:p w14:paraId="3640D5C5">
      <w:pPr>
        <w:rPr>
          <w:rFonts w:hint="default"/>
          <w:lang w:val="ru-RU"/>
        </w:rPr>
      </w:pPr>
      <w:r>
        <w:rPr>
          <w:rFonts w:hint="default"/>
          <w:lang w:val="ru-RU"/>
        </w:rPr>
        <w:t>Event Service изолирован от других сервисов и взаимодействует только через gRPC API. Использование собственной базы данных SQLite (`events.db`) обеспечивает независимость данных о мероприятиях и возможность масштабирования сервиса независимо от других компонентов системы.</w:t>
      </w:r>
    </w:p>
    <w:p w14:paraId="5D5B87E1">
      <w:pPr>
        <w:rPr>
          <w:rFonts w:hint="default"/>
          <w:lang w:val="ru-RU"/>
        </w:rPr>
      </w:pPr>
    </w:p>
    <w:p w14:paraId="4EEFB9CF">
      <w:r>
        <w:drawing>
          <wp:inline distT="0" distB="0" distL="114300" distR="114300">
            <wp:extent cx="5271135" cy="3046095"/>
            <wp:effectExtent l="0" t="0" r="1905" b="190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EA65C"/>
    <w:p w14:paraId="7DBCE08E">
      <w:r>
        <w:drawing>
          <wp:inline distT="0" distB="0" distL="114300" distR="114300">
            <wp:extent cx="5272405" cy="2922905"/>
            <wp:effectExtent l="0" t="0" r="635" b="317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2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15A1F"/>
    <w:p w14:paraId="44C3BC6E"/>
    <w:p w14:paraId="0A271955">
      <w:r>
        <w:drawing>
          <wp:inline distT="0" distB="0" distL="114300" distR="114300">
            <wp:extent cx="5273675" cy="3259455"/>
            <wp:effectExtent l="0" t="0" r="14605" b="190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5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884B3"/>
    <w:p w14:paraId="125759B1">
      <w:r>
        <w:drawing>
          <wp:inline distT="0" distB="0" distL="114300" distR="114300">
            <wp:extent cx="5269865" cy="2893060"/>
            <wp:effectExtent l="0" t="0" r="3175" b="254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9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4CBC3"/>
    <w:p w14:paraId="206A2996">
      <w:r>
        <w:drawing>
          <wp:inline distT="0" distB="0" distL="114300" distR="114300">
            <wp:extent cx="5261610" cy="2578735"/>
            <wp:effectExtent l="0" t="0" r="11430" b="12065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57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5F57D"/>
    <w:p w14:paraId="180FE1CC">
      <w:r>
        <w:drawing>
          <wp:inline distT="0" distB="0" distL="114300" distR="114300">
            <wp:extent cx="5260975" cy="2517140"/>
            <wp:effectExtent l="0" t="0" r="12065" b="1270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51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1B64B"/>
    <w:p w14:paraId="00E27EDD">
      <w:r>
        <w:drawing>
          <wp:inline distT="0" distB="0" distL="114300" distR="114300">
            <wp:extent cx="5262880" cy="2922905"/>
            <wp:effectExtent l="0" t="0" r="10160" b="3175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92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29F61"/>
    <w:p w14:paraId="4E618DA1">
      <w:r>
        <w:drawing>
          <wp:inline distT="0" distB="0" distL="114300" distR="114300">
            <wp:extent cx="5264785" cy="2828290"/>
            <wp:effectExtent l="0" t="0" r="8255" b="6350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2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BCC50"/>
    <w:p w14:paraId="1AC634B9">
      <w:pPr>
        <w:pStyle w:val="2"/>
        <w:numPr>
          <w:ilvl w:val="0"/>
          <w:numId w:val="1"/>
        </w:num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Booking Service</w:t>
      </w:r>
    </w:p>
    <w:p w14:paraId="09A0A1AF">
      <w:pPr>
        <w:rPr>
          <w:rFonts w:hint="default"/>
          <w:lang w:val="ru-RU"/>
        </w:rPr>
      </w:pPr>
    </w:p>
    <w:p w14:paraId="3D4CCDD4">
      <w:pPr>
        <w:rPr>
          <w:rFonts w:hint="default"/>
          <w:lang w:val="ru-RU"/>
        </w:rPr>
      </w:pPr>
      <w:r>
        <w:rPr>
          <w:rFonts w:hint="default"/>
          <w:lang w:val="ru-RU"/>
        </w:rPr>
        <w:t>Booking Service является центральным оркестратором системы бронирования билетов. Он предоставляет REST API для клиентских приложений и выступает в роли gRPC клиента для взаимодействия с User Service и Event Service. Такой подход позволяет клиентам использовать простой REST API с JSON форматом, в то время как межсервисное взаимодействие происходит через высокопроизводительный gRPC протокол.</w:t>
      </w:r>
    </w:p>
    <w:p w14:paraId="6F3CCF0C">
      <w:pPr>
        <w:rPr>
          <w:rFonts w:hint="default"/>
          <w:lang w:val="ru-RU"/>
        </w:rPr>
      </w:pPr>
    </w:p>
    <w:p w14:paraId="62A82491">
      <w:pPr>
        <w:rPr>
          <w:rFonts w:hint="default"/>
          <w:lang w:val="ru-RU"/>
        </w:rPr>
      </w:pPr>
      <w:r>
        <w:rPr>
          <w:rFonts w:hint="default"/>
          <w:lang w:val="ru-RU"/>
        </w:rPr>
        <w:t>Объявляется класс Booking для хранения информации о бронированиях: уникальный идентификатор бронирования, идентификатор пользователя, идентификатор мероприятия, статус бронирования, количество билетов и время создания. Использование отдельной модели данных для бронирований позволяет независимо управлять жизненным циклом бронирований и обеспечивает целостность данных при взаимодействии с другими сервисами.</w:t>
      </w:r>
    </w:p>
    <w:p w14:paraId="0847D7EB">
      <w:pPr>
        <w:rPr>
          <w:rFonts w:hint="default"/>
          <w:lang w:val="ru-RU"/>
        </w:rPr>
      </w:pPr>
    </w:p>
    <w:p w14:paraId="3759CCF5">
      <w:pPr>
        <w:rPr>
          <w:rFonts w:hint="default"/>
          <w:lang w:val="ru-RU"/>
        </w:rPr>
      </w:pPr>
      <w:r>
        <w:rPr>
          <w:rFonts w:hint="default"/>
          <w:lang w:val="ru-RU"/>
        </w:rPr>
        <w:t>При получении запроса POST /api/bookings на создание бронирования сервис выполняет последовательность операций, координируя работу с другими микросервисами. Сначала отправляется gRPC запрос в User Service для проверки существования пользователя и получения его данных. Если пользователь не найден, запрос отклоняется с соответствующим HTTP статусом 404. Затем выполняется проверка доступности мест через Event Service - если мест недостаточно, возвращается ошибка с указанием доступного количества мест.</w:t>
      </w:r>
    </w:p>
    <w:p w14:paraId="5F3E9841">
      <w:pPr>
        <w:rPr>
          <w:rFonts w:hint="default"/>
          <w:lang w:val="ru-RU"/>
        </w:rPr>
      </w:pPr>
    </w:p>
    <w:p w14:paraId="25B88BE2">
      <w:pPr>
        <w:rPr>
          <w:rFonts w:hint="default"/>
          <w:lang w:val="ru-RU"/>
        </w:rPr>
      </w:pPr>
      <w:r>
        <w:rPr>
          <w:rFonts w:hint="default"/>
          <w:lang w:val="ru-RU"/>
        </w:rPr>
        <w:t>После успешных проверок создается запись бронирования в собственной базе данных Booking Service со статусом "confirmed". Затем выполняется резервирование мест через Event Service. Если резервирование не удается (например, места были заняты между проверкой и резервированием), выполняется откат транзакции - созданное бронирование удаляется из базы данных, что обеспечивает согласованность данных в системе. Такой подход гарантирует, что бронирование создается только при успешном резервировании мест.</w:t>
      </w:r>
    </w:p>
    <w:p w14:paraId="59EE7BCC">
      <w:pPr>
        <w:rPr>
          <w:rFonts w:hint="default"/>
          <w:lang w:val="ru-RU"/>
        </w:rPr>
      </w:pPr>
    </w:p>
    <w:p w14:paraId="6A05C2C3">
      <w:pPr>
        <w:rPr>
          <w:rFonts w:hint="default"/>
          <w:lang w:val="ru-RU"/>
        </w:rPr>
      </w:pPr>
      <w:r>
        <w:rPr>
          <w:rFonts w:hint="default"/>
          <w:lang w:val="ru-RU"/>
        </w:rPr>
        <w:t>Запрос GET /api/bookings/{booking_id} позволяет получить полную информацию о существующем бронировании. Сервис извлекает данные из собственной базы данных и возвращает их в формате JSON. Это позволяет клиентам отслеживать статус своих бронирований без необходимости запросов к другим сервисам.</w:t>
      </w:r>
    </w:p>
    <w:p w14:paraId="151C9F81">
      <w:pPr>
        <w:rPr>
          <w:rFonts w:hint="default"/>
          <w:lang w:val="ru-RU"/>
        </w:rPr>
      </w:pPr>
    </w:p>
    <w:p w14:paraId="7A4F51D2">
      <w:pPr>
        <w:rPr>
          <w:rFonts w:hint="default"/>
          <w:lang w:val="ru-RU"/>
        </w:rPr>
      </w:pPr>
      <w:r>
        <w:rPr>
          <w:rFonts w:hint="default"/>
          <w:lang w:val="ru-RU"/>
        </w:rPr>
        <w:t>Запрос DELETE /api/bookings/{booking_id} реализует отмену бронирования. Процесс включает освобождение мест через Event Service и изменение статуса бронирования на "cancelled" в собственной базе данных. Если освобождение мест не удается, операция отмены отклоняется, что предотвращает потерю мест в системе. Проверка текущего статуса предотвращает повторную отмену уже отмененных бронирований.</w:t>
      </w:r>
    </w:p>
    <w:p w14:paraId="0F5479B1">
      <w:pPr>
        <w:rPr>
          <w:rFonts w:hint="default"/>
          <w:lang w:val="ru-RU"/>
        </w:rPr>
      </w:pPr>
    </w:p>
    <w:p w14:paraId="0C9BF28F">
      <w:pPr>
        <w:rPr>
          <w:rFonts w:hint="default"/>
          <w:lang w:val="ru-RU"/>
        </w:rPr>
      </w:pPr>
      <w:r>
        <w:rPr>
          <w:rFonts w:hint="default"/>
          <w:lang w:val="ru-RU"/>
        </w:rPr>
        <w:t>Обработка ошибок gRPC реализована через перехват исключений grpc.RpcError с проверкой кодов статусов. Различные типы ошибок (NOT_FOUND, INTERNAL) преобразуются в соответствующие HTTP статусы, что обеспечивает понятный интерфейс для клиентских приложений. Использование переменных окружения (USER_SERVICE_HOST, EVENT_SERVICE_HOST) позволяет гибко настраивать адреса других сервисов при развертывании в различных окружениях.</w:t>
      </w:r>
    </w:p>
    <w:p w14:paraId="7DAFC692">
      <w:pPr>
        <w:rPr>
          <w:rFonts w:hint="default"/>
          <w:lang w:val="ru-RU"/>
        </w:rPr>
      </w:pPr>
    </w:p>
    <w:p w14:paraId="6CE9633A">
      <w:pPr>
        <w:rPr>
          <w:rFonts w:hint="default"/>
          <w:lang w:val="ru-RU"/>
        </w:rPr>
      </w:pPr>
      <w:r>
        <w:rPr>
          <w:rFonts w:hint="default"/>
          <w:lang w:val="ru-RU"/>
        </w:rPr>
        <w:t>Booking Service использует Flask для реализации REST API, что обеспечивает простоту разработки и поддержки. Подключение к другим сервисам устанавливается при инициализации приложения через insecure gRPC каналы, что подходит для внутренней сети микросервисов. Сервис полностью изолирован от других компонентов и взаимодействует с ними только через API, не имея прямого доступа к их базам данных.</w:t>
      </w:r>
    </w:p>
    <w:p w14:paraId="05886469">
      <w:pPr>
        <w:rPr>
          <w:rFonts w:hint="default"/>
          <w:lang w:val="ru-RU"/>
        </w:rPr>
      </w:pPr>
    </w:p>
    <w:p w14:paraId="6C318FD8">
      <w:pPr>
        <w:rPr>
          <w:rFonts w:hint="default"/>
          <w:lang w:val="ru-RU"/>
        </w:rPr>
      </w:pPr>
    </w:p>
    <w:p w14:paraId="79A3EDAE">
      <w:r>
        <w:drawing>
          <wp:inline distT="0" distB="0" distL="114300" distR="114300">
            <wp:extent cx="5268595" cy="3462655"/>
            <wp:effectExtent l="0" t="0" r="4445" b="12065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6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0B131"/>
    <w:p w14:paraId="00046695">
      <w:r>
        <w:drawing>
          <wp:inline distT="0" distB="0" distL="114300" distR="114300">
            <wp:extent cx="5266690" cy="3314065"/>
            <wp:effectExtent l="0" t="0" r="6350" b="8255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1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FBD37"/>
    <w:p w14:paraId="61D22CC0">
      <w:r>
        <w:drawing>
          <wp:inline distT="0" distB="0" distL="114300" distR="114300">
            <wp:extent cx="5263515" cy="2682875"/>
            <wp:effectExtent l="0" t="0" r="9525" b="14605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8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053AE"/>
    <w:p w14:paraId="20EE68EE">
      <w:r>
        <w:drawing>
          <wp:inline distT="0" distB="0" distL="114300" distR="114300">
            <wp:extent cx="5270500" cy="2934970"/>
            <wp:effectExtent l="0" t="0" r="2540" b="6350"/>
            <wp:docPr id="1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3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12936"/>
    <w:p w14:paraId="2DF4F026">
      <w:r>
        <w:drawing>
          <wp:inline distT="0" distB="0" distL="114300" distR="114300">
            <wp:extent cx="5268595" cy="2679065"/>
            <wp:effectExtent l="0" t="0" r="4445" b="3175"/>
            <wp:docPr id="1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7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EB770"/>
    <w:p w14:paraId="04478753">
      <w:r>
        <w:drawing>
          <wp:inline distT="0" distB="0" distL="114300" distR="114300">
            <wp:extent cx="5271135" cy="2969260"/>
            <wp:effectExtent l="0" t="0" r="1905" b="2540"/>
            <wp:docPr id="18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6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A21B7"/>
    <w:p w14:paraId="6ADA3D31">
      <w:r>
        <w:drawing>
          <wp:inline distT="0" distB="0" distL="114300" distR="114300">
            <wp:extent cx="5272405" cy="3722370"/>
            <wp:effectExtent l="0" t="0" r="635" b="11430"/>
            <wp:docPr id="19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2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A8679"/>
    <w:p w14:paraId="7824CEC5">
      <w:pPr>
        <w:pStyle w:val="2"/>
        <w:bidi w:val="0"/>
        <w:rPr>
          <w:rFonts w:hint="default"/>
          <w:lang w:val="ru-RU"/>
        </w:rPr>
      </w:pPr>
      <w:r>
        <w:rPr>
          <w:lang w:val="ru-RU"/>
        </w:rPr>
        <w:t>Структура</w:t>
      </w:r>
      <w:r>
        <w:rPr>
          <w:rFonts w:hint="default"/>
          <w:lang w:val="ru-RU"/>
        </w:rPr>
        <w:t xml:space="preserve"> файлов</w:t>
      </w:r>
    </w:p>
    <w:p w14:paraId="23DC3458">
      <w:pPr>
        <w:rPr>
          <w:rFonts w:hint="default"/>
          <w:lang w:val="ru-RU"/>
        </w:rPr>
      </w:pPr>
    </w:p>
    <w:p w14:paraId="26ECBB33">
      <w:r>
        <w:drawing>
          <wp:inline distT="0" distB="0" distL="114300" distR="114300">
            <wp:extent cx="2571750" cy="5505450"/>
            <wp:effectExtent l="0" t="0" r="3810" b="11430"/>
            <wp:docPr id="20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550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E9378"/>
    <w:p w14:paraId="455C0052">
      <w:pPr>
        <w:rPr>
          <w:rFonts w:hint="default"/>
          <w:lang w:val="ru-RU"/>
        </w:rPr>
      </w:pPr>
      <w:r>
        <w:rPr>
          <w:rFonts w:hint="default"/>
          <w:lang w:val="ru-RU"/>
        </w:rPr>
        <w:t>Все сервисы будут доступны:</w:t>
      </w:r>
    </w:p>
    <w:p w14:paraId="7DAB1D92">
      <w:pPr>
        <w:rPr>
          <w:rFonts w:hint="default"/>
          <w:lang w:val="ru-RU"/>
        </w:rPr>
      </w:pPr>
      <w:r>
        <w:rPr>
          <w:rFonts w:hint="default"/>
          <w:lang w:val="ru-RU"/>
        </w:rPr>
        <w:t>- Booking Service (REST API): http://localhost:5000</w:t>
      </w:r>
    </w:p>
    <w:p w14:paraId="087D4426">
      <w:pPr>
        <w:rPr>
          <w:rFonts w:hint="default"/>
          <w:lang w:val="ru-RU"/>
        </w:rPr>
      </w:pPr>
      <w:r>
        <w:rPr>
          <w:rFonts w:hint="default"/>
          <w:lang w:val="ru-RU"/>
        </w:rPr>
        <w:t>- User Service (gRPC): localhost:50051</w:t>
      </w:r>
    </w:p>
    <w:p w14:paraId="199C152F">
      <w:pPr>
        <w:rPr>
          <w:rFonts w:hint="default"/>
          <w:lang w:val="ru-RU"/>
        </w:rPr>
      </w:pPr>
      <w:r>
        <w:rPr>
          <w:rFonts w:hint="default"/>
          <w:lang w:val="ru-RU"/>
        </w:rPr>
        <w:t>- Event Service (gRPC): localhost:50052</w:t>
      </w:r>
    </w:p>
    <w:p w14:paraId="6C2187FE">
      <w:pPr>
        <w:rPr>
          <w:rFonts w:hint="default"/>
          <w:lang w:val="ru-RU"/>
        </w:rPr>
      </w:pPr>
    </w:p>
    <w:p w14:paraId="2240136D">
      <w:pPr>
        <w:rPr>
          <w:rFonts w:hint="default"/>
          <w:lang w:val="ru-RU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TimesNewRomanPS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786948"/>
    <w:multiLevelType w:val="singleLevel"/>
    <w:tmpl w:val="B078694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AB36BD"/>
    <w:rsid w:val="02AB3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link w:val="6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fontstyle11"/>
    <w:basedOn w:val="3"/>
    <w:qFormat/>
    <w:uiPriority w:val="0"/>
    <w:rPr>
      <w:rFonts w:hint="default" w:ascii="TimesNewRomanPSMT" w:hAnsi="TimesNewRomanPSMT"/>
      <w:color w:val="000000"/>
      <w:sz w:val="28"/>
      <w:szCs w:val="28"/>
    </w:rPr>
  </w:style>
  <w:style w:type="character" w:customStyle="1" w:styleId="6">
    <w:name w:val="Заголовок 1 Char"/>
    <w:link w:val="2"/>
    <w:uiPriority w:val="0"/>
    <w:rPr>
      <w:rFonts w:ascii="Arial" w:hAnsi="Arial" w:cs="Arial"/>
      <w:b/>
      <w:bCs/>
      <w:kern w:val="3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2025-11-04T14:52:00Z</dcterms:created>
  <dc:creator>Аркадий</dc:creator>
  <cp:lastModifiedBy>Аркадий</cp:lastModifiedBy>
  <dcterms:modified xsi:type="dcterms:W3CDTF">2025-11-04T15:10:00Z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66544A3FEF9549F8B2B926C55A6E6808_11</vt:lpwstr>
  </property>
</Properties>
</file>