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 de Alineación Técnica — CanSat IGNIS-1</w:t>
      </w:r>
    </w:p>
    <w:p>
      <w:pPr>
        <w:pStyle w:val="Subtitle"/>
      </w:pPr>
      <w:r>
        <w:t xml:space="preserve">Revisión del diseño electrónico frente a los objetivos de misión (LASC 2026)</w:t>
      </w:r>
    </w:p>
    <w:p>
      <w:pPr>
        <w:pStyle w:val="Author"/>
      </w:pPr>
      <w:r>
        <w:t xml:space="preserve">Área de Electrónica / Aviónica — Equipo IGNITIA</w:t>
      </w:r>
    </w:p>
    <w:p>
      <w:pPr>
        <w:pStyle w:val="Date"/>
      </w:pPr>
      <w:r>
        <w:t xml:space="preserve">23 de junio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resumen-ejecutivo"/>
    <w:p>
      <w:pPr>
        <w:pStyle w:val="Heading1"/>
      </w:pPr>
      <w:r>
        <w:t xml:space="preserve">Resumen ejecutivo</w:t>
      </w:r>
    </w:p>
    <w:p>
      <w:pPr>
        <w:pStyle w:val="FirstParagraph"/>
      </w:pPr>
      <w:r>
        <w:t xml:space="preserve">Esta revisión compara el</w:t>
      </w:r>
      <w:r>
        <w:t xml:space="preserve"> </w:t>
      </w:r>
      <w:r>
        <w:rPr>
          <w:b/>
          <w:bCs/>
        </w:rPr>
        <w:t xml:space="preserve">estado actual del diseño electrónico</w:t>
      </w:r>
      <w:r>
        <w:t xml:space="preserve"> </w:t>
      </w:r>
      <w:r>
        <w:t xml:space="preserve">del CanSat IGNIS-1 contra los</w:t>
      </w:r>
      <w:r>
        <w:t xml:space="preserve"> </w:t>
      </w:r>
      <w:r>
        <w:rPr>
          <w:b/>
          <w:bCs/>
        </w:rPr>
        <w:t xml:space="preserve">objetivos oficiales de la misión</w:t>
      </w:r>
      <w:r>
        <w:t xml:space="preserve"> </w:t>
      </w:r>
      <w:r>
        <w:t xml:space="preserve">descritos en los</w:t>
      </w:r>
      <w:r>
        <w:t xml:space="preserve"> </w:t>
      </w:r>
      <w:r>
        <w:rPr>
          <w:i/>
          <w:iCs/>
        </w:rPr>
        <w:t xml:space="preserve">Progress Updates</w:t>
      </w:r>
      <w:r>
        <w:t xml:space="preserve"> </w:t>
      </w:r>
      <w:r>
        <w:t xml:space="preserve">de LASC. El esquemático en KiCad alcanzó un estado</w:t>
      </w:r>
      <w:r>
        <w:t xml:space="preserve"> </w:t>
      </w:r>
      <w:r>
        <w:rPr>
          <w:b/>
          <w:bCs/>
        </w:rPr>
        <w:t xml:space="preserve">eléctricamente limpio</w:t>
      </w:r>
      <w:r>
        <w:t xml:space="preserve"> </w:t>
      </w:r>
      <w:r>
        <w:t xml:space="preserve">(0 errores de ERC) tras corregir múltiples desconexiones críticas. Sin embargo, se detectó una</w:t>
      </w:r>
      <w:r>
        <w:t xml:space="preserve"> </w:t>
      </w:r>
      <w:r>
        <w:rPr>
          <w:b/>
          <w:bCs/>
        </w:rPr>
        <w:t xml:space="preserve">desviación importante entre el hardware construido y la lista de componentes declarada en la misión</w:t>
      </w:r>
      <w:r>
        <w:t xml:space="preserve">, principalmente en los sensores que sustentan el objetivo científico (detección de incendios).</w:t>
      </w:r>
    </w:p>
    <w:p>
      <w:pPr>
        <w:pStyle w:val="BodyText"/>
      </w:pPr>
      <w:r>
        <w:t xml:space="preserve">Se requieren</w:t>
      </w:r>
      <w:r>
        <w:t xml:space="preserve"> </w:t>
      </w:r>
      <w:r>
        <w:rPr>
          <w:b/>
          <w:bCs/>
        </w:rPr>
        <w:t xml:space="preserve">tres decisiones de dirección</w:t>
      </w:r>
      <w:r>
        <w:t xml:space="preserve"> </w:t>
      </w:r>
      <w:r>
        <w:t xml:space="preserve">antes de avanzar a la fabricación final: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Sensores de gas y material particulado</w:t>
      </w:r>
      <w:r>
        <w:t xml:space="preserve"> </w:t>
      </w:r>
      <w:r>
        <w:t xml:space="preserve">— el hardware actual no incluye el sensor de material particulado (humo) que exige la misión, y usa un sensor de gas distinto al especificado.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Presupuesto de masa y forma</w:t>
      </w:r>
      <w:r>
        <w:t xml:space="preserve"> </w:t>
      </w:r>
      <w:r>
        <w:t xml:space="preserve">— verificar el cumplimiento de los</w:t>
      </w:r>
      <w:r>
        <w:t xml:space="preserve"> </w:t>
      </w:r>
      <w:r>
        <w:rPr>
          <w:b/>
          <w:bCs/>
        </w:rPr>
        <w:t xml:space="preserve">300 g</w:t>
      </w:r>
      <w:r>
        <w:t xml:space="preserve"> </w:t>
      </w:r>
      <w:r>
        <w:t xml:space="preserve">y el formato CanSat</w:t>
      </w:r>
      <w:r>
        <w:t xml:space="preserve"> </w:t>
      </w:r>
      <w:r>
        <w:t xml:space="preserve">“1C”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Índice de calidad de comunicación</w:t>
      </w:r>
      <w:r>
        <w:t xml:space="preserve"> </w:t>
      </w:r>
      <w:r>
        <w:t xml:space="preserve">— aún no implementado en el firmware (entregable de la misión secundaria).</w:t>
      </w:r>
    </w:p>
    <w:p>
      <w:pPr>
        <w:pStyle w:val="FirstParagraph"/>
      </w:pPr>
      <w:r>
        <w:t xml:space="preserve">El tiempo es crítico: la competencia es del</w:t>
      </w:r>
      <w:r>
        <w:t xml:space="preserve"> </w:t>
      </w:r>
      <w:r>
        <w:rPr>
          <w:b/>
          <w:bCs/>
        </w:rPr>
        <w:t xml:space="preserve">2 al 5 de septiembre de 2026</w:t>
      </w:r>
      <w:r>
        <w:t xml:space="preserve"> </w:t>
      </w:r>
      <w:r>
        <w:t xml:space="preserve">(~10 semanas).</w:t>
      </w:r>
    </w:p>
    <w:bookmarkEnd w:id="20"/>
    <w:bookmarkStart w:id="21" w:name="contexto-de-la-misión"/>
    <w:p>
      <w:pPr>
        <w:pStyle w:val="Heading1"/>
      </w:pPr>
      <w:r>
        <w:t xml:space="preserve">1. Contexto de la misión</w:t>
      </w:r>
    </w:p>
    <w:p>
      <w:pPr>
        <w:pStyle w:val="FirstParagraph"/>
      </w:pPr>
      <w:r>
        <w:rPr>
          <w:b/>
          <w:bCs/>
        </w:rPr>
        <w:t xml:space="preserve">IGNIS-1</w:t>
      </w:r>
      <w:r>
        <w:t xml:space="preserve"> </w:t>
      </w:r>
      <w:r>
        <w:t xml:space="preserve">es un CanSat de la</w:t>
      </w:r>
      <w:r>
        <w:t xml:space="preserve"> </w:t>
      </w:r>
      <w:r>
        <w:rPr>
          <w:b/>
          <w:bCs/>
        </w:rPr>
        <w:t xml:space="preserve">Latin American Space Challenge (LASC) 2026</w:t>
      </w:r>
      <w:r>
        <w:t xml:space="preserve">, vinculado a la misión de cohete ID 22, con apogeo objetivo de</w:t>
      </w:r>
      <w:r>
        <w:t xml:space="preserve"> </w:t>
      </w:r>
      <w:r>
        <w:rPr>
          <w:b/>
          <w:bCs/>
        </w:rPr>
        <w:t xml:space="preserve">1 000 m AGL</w:t>
      </w:r>
      <w:r>
        <w:t xml:space="preserve">. Tras la eyección se recupera de forma independiente mediante paracaídas.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Misión primaria</w:t>
            </w:r>
          </w:p>
        </w:tc>
        <w:tc>
          <w:tcPr/>
          <w:p>
            <w:pPr>
              <w:pStyle w:val="Compact"/>
            </w:pPr>
            <w:r>
              <w:t xml:space="preserve">Detectar condiciones que llevan a incendios forestales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 requeridas</w:t>
            </w:r>
          </w:p>
        </w:tc>
        <w:tc>
          <w:tcPr/>
          <w:p>
            <w:pPr>
              <w:pStyle w:val="Compact"/>
            </w:pPr>
            <w:r>
              <w:t xml:space="preserve">Temperatura, humedad, presión,</w:t>
            </w:r>
            <w:r>
              <w:t xml:space="preserve"> </w:t>
            </w:r>
            <w:r>
              <w:rPr>
                <w:b/>
                <w:bCs/>
              </w:rPr>
              <w:t xml:space="preserve">concentración de gas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material particulado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Misión secundaria</w:t>
            </w:r>
          </w:p>
        </w:tc>
        <w:tc>
          <w:tcPr/>
          <w:p>
            <w:pPr>
              <w:pStyle w:val="Compact"/>
            </w:pPr>
            <w:r>
              <w:t xml:space="preserve">Calidad del enlace de radio (</w:t>
            </w:r>
            <w:r>
              <w:rPr>
                <w:b/>
                <w:bCs/>
              </w:rPr>
              <w:t xml:space="preserve">RSSI + pérdida de paquetes</w:t>
            </w:r>
            <w:r>
              <w:t xml:space="preserve">) vs altitud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Entregables</w:t>
            </w:r>
          </w:p>
        </w:tc>
        <w:tc>
          <w:tcPr/>
          <w:p>
            <w:pPr>
              <w:pStyle w:val="Compact"/>
            </w:pPr>
            <w:r>
              <w:t xml:space="preserve">Índice de riesgo de incendio + índice de calidad de comunicación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Masa objetivo</w:t>
            </w:r>
          </w:p>
        </w:tc>
        <w:tc>
          <w:tcPr/>
          <w:p>
            <w:pPr>
              <w:pStyle w:val="Compact"/>
            </w:pPr>
            <w:r>
              <w:t xml:space="preserve">~300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Dimensiones</w:t>
            </w:r>
          </w:p>
        </w:tc>
        <w:tc>
          <w:tcPr/>
          <w:p>
            <w:pPr>
              <w:pStyle w:val="Compact"/>
            </w:pPr>
            <w:r>
              <w:t xml:space="preserve">“1C”</w:t>
            </w:r>
            <w:r>
              <w:t xml:space="preserve"> </w:t>
            </w:r>
            <w:r>
              <w:t xml:space="preserve">(~ 66 mm de diámetro)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Energía</w:t>
            </w:r>
          </w:p>
        </w:tc>
        <w:tc>
          <w:tcPr/>
          <w:p>
            <w:pPr>
              <w:pStyle w:val="Compact"/>
            </w:pPr>
            <w:r>
              <w:t xml:space="preserve">LiPo, con</w:t>
            </w:r>
            <w:r>
              <w:t xml:space="preserve"> </w:t>
            </w:r>
            <w:r>
              <w:rPr>
                <w:b/>
                <w:bCs/>
              </w:rPr>
              <w:t xml:space="preserve">RBF pins</w:t>
            </w:r>
            <w:r>
              <w:t xml:space="preserve"> </w:t>
            </w:r>
            <w:r>
              <w:t xml:space="preserve">(corte total) y protección de batería; sin paneles solares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Recuperación</w:t>
            </w:r>
          </w:p>
        </w:tc>
        <w:tc>
          <w:tcPr/>
          <w:p>
            <w:pPr>
              <w:pStyle w:val="Compact"/>
            </w:pPr>
            <w:r>
              <w:t xml:space="preserve">Paracaídas pasivo; orientación vertical crítica para datos consistentes</w:t>
            </w:r>
          </w:p>
        </w:tc>
      </w:tr>
    </w:tbl>
    <w:bookmarkEnd w:id="21"/>
    <w:bookmarkStart w:id="22" w:name="estado-actual-del-diseño-electrónico"/>
    <w:p>
      <w:pPr>
        <w:pStyle w:val="Heading1"/>
      </w:pPr>
      <w:r>
        <w:t xml:space="preserve">2. Estado actual del diseño electrónico</w:t>
      </w:r>
    </w:p>
    <w:p>
      <w:pPr>
        <w:pStyle w:val="FirstParagraph"/>
      </w:pPr>
      <w:r>
        <w:t xml:space="preserve">El esquemático en KiCad fue auditado y corregido a fondo. Se partió de</w:t>
      </w:r>
      <w:r>
        <w:t xml:space="preserve"> </w:t>
      </w:r>
      <w:r>
        <w:rPr>
          <w:b/>
          <w:bCs/>
        </w:rPr>
        <w:t xml:space="preserve">18 errores de ERC</w:t>
      </w:r>
      <w:r>
        <w:t xml:space="preserve"> </w:t>
      </w:r>
      <w:r>
        <w:t xml:space="preserve">y múltiples buses</w:t>
      </w:r>
      <w:r>
        <w:t xml:space="preserve"> </w:t>
      </w:r>
      <w:r>
        <w:rPr>
          <w:b/>
          <w:bCs/>
        </w:rPr>
        <w:t xml:space="preserve">desconectados</w:t>
      </w:r>
      <w:r>
        <w:t xml:space="preserve"> </w:t>
      </w:r>
      <w:r>
        <w:t xml:space="preserve">(no detectados a simple vista) hasta llegar a</w:t>
      </w:r>
      <w:r>
        <w:t xml:space="preserve"> </w:t>
      </w:r>
      <w:r>
        <w:rPr>
          <w:b/>
          <w:bCs/>
        </w:rPr>
        <w:t xml:space="preserve">0 errores</w:t>
      </w:r>
      <w:r>
        <w:t xml:space="preserve">.</w:t>
      </w:r>
    </w:p>
    <w:p>
      <w:pPr>
        <w:pStyle w:val="BodyText"/>
      </w:pPr>
      <w:r>
        <w:t xml:space="preserve">Correcciones aplicadas y verificadas: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UART del GPS</w:t>
      </w:r>
      <w:r>
        <w:t xml:space="preserve">: las líneas RX/TX no estaban cruzadas ni conectadas; corregido.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Bus I²C</w:t>
      </w:r>
      <w:r>
        <w:t xml:space="preserve">: el microcontrolador estaba</w:t>
      </w:r>
      <w:r>
        <w:t xml:space="preserve"> </w:t>
      </w:r>
      <w:r>
        <w:rPr>
          <w:b/>
          <w:bCs/>
        </w:rPr>
        <w:t xml:space="preserve">eléctricamente desconectado</w:t>
      </w:r>
      <w:r>
        <w:t xml:space="preserve"> </w:t>
      </w:r>
      <w:r>
        <w:t xml:space="preserve">de los sensores (BME280, MPU6050, MLX90614, SGP30); corregido y unificado.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Bus SPI</w:t>
      </w:r>
      <w:r>
        <w:t xml:space="preserve">: el módulo microSD no estaba conectado al bus; corregido (LoRa estaba correcto).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Alimentación del SGP30</w:t>
      </w:r>
      <w:r>
        <w:t xml:space="preserve">: estaba a 3.3 V (destructivo para el chip desnudo); resuelto al confirmarse que es un módulo con regulador propio.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Tipos de pin, banderas de alimentación (PWR_FLAG), blindaje del GPS a tierra, tablas de librerías</w:t>
      </w:r>
      <w:r>
        <w:t xml:space="preserve">: corregidos.</w:t>
      </w:r>
    </w:p>
    <w:p>
      <w:pPr>
        <w:pStyle w:val="FirstParagraph"/>
      </w:pPr>
      <w:r>
        <w:rPr>
          <w:b/>
          <w:bCs/>
        </w:rPr>
        <w:t xml:space="preserve">Conclusión:</w:t>
      </w:r>
      <w:r>
        <w:t xml:space="preserve"> </w:t>
      </w:r>
      <w:r>
        <w:t xml:space="preserve">el esquemático es funcional y verificable. El netlist (conexiones) es correcto. Lo que sigue depende de decisiones de componentes y de mecánica, no de errores de cableado.</w:t>
      </w:r>
    </w:p>
    <w:bookmarkEnd w:id="22"/>
    <w:bookmarkStart w:id="23" w:name="X54fbe80f428aad7873ebda7643850e1d11acbe5"/>
    <w:p>
      <w:pPr>
        <w:pStyle w:val="Heading1"/>
      </w:pPr>
      <w:r>
        <w:t xml:space="preserve">3. Hallazgo crítico: desviación de hardware frente al spec</w:t>
      </w:r>
    </w:p>
    <w:p>
      <w:pPr>
        <w:pStyle w:val="FirstParagraph"/>
      </w:pPr>
      <w:r>
        <w:t xml:space="preserve">La misión declara una lista de sensores específica. El hardware construido</w:t>
      </w:r>
      <w:r>
        <w:t xml:space="preserve"> </w:t>
      </w:r>
      <w:r>
        <w:rPr>
          <w:b/>
          <w:bCs/>
        </w:rPr>
        <w:t xml:space="preserve">difiere</w:t>
      </w:r>
      <w:r>
        <w:t xml:space="preserve"> </w:t>
      </w:r>
      <w:r>
        <w:t xml:space="preserve">en los componentes que sustentan el objetivo científico.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(spec oficial)</w:t>
            </w:r>
          </w:p>
        </w:tc>
        <w:tc>
          <w:tcPr/>
          <w:p>
            <w:pPr>
              <w:pStyle w:val="Compact"/>
            </w:pPr>
            <w:r>
              <w:t xml:space="preserve">Hardware construido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de gas</w:t>
            </w:r>
            <w:r>
              <w:t xml:space="preserve"> </w:t>
            </w:r>
            <w:r>
              <w:rPr>
                <w:b/>
                <w:bCs/>
              </w:rPr>
              <w:t xml:space="preserve">MQ-2 / MQ-135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SGP30</w:t>
            </w:r>
          </w:p>
        </w:tc>
        <w:tc>
          <w:tcPr/>
          <w:p>
            <w:pPr>
              <w:pStyle w:val="Compact"/>
            </w:pPr>
            <w:r>
              <w:t xml:space="preserve">Sustituido por uno más débil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de</w:t>
            </w:r>
            <w:r>
              <w:t xml:space="preserve"> </w:t>
            </w:r>
            <w:r>
              <w:rPr>
                <w:b/>
                <w:bCs/>
              </w:rPr>
              <w:t xml:space="preserve">material particulado</w:t>
            </w:r>
            <w:r>
              <w:t xml:space="preserve"> </w:t>
            </w:r>
            <w:r>
              <w:t xml:space="preserve">(humo)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existe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FALTANTE — sensor núcleo de la misión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BME280 (T/H/P)</w:t>
            </w:r>
          </w:p>
        </w:tc>
        <w:tc>
          <w:tcPr/>
          <w:p>
            <w:pPr>
              <w:pStyle w:val="Compact"/>
            </w:pPr>
            <w:r>
              <w:t xml:space="preserve">BME280</w:t>
            </w:r>
          </w:p>
        </w:tc>
        <w:tc>
          <w:tcPr/>
          <w:p>
            <w:pPr>
              <w:pStyle w:val="Compact"/>
            </w:pPr>
            <w:r>
              <w:t xml:space="preserve">Correcto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(no listados)</w:t>
            </w:r>
          </w:p>
        </w:tc>
        <w:tc>
          <w:tcPr/>
          <w:p>
            <w:pPr>
              <w:pStyle w:val="Compact"/>
            </w:pPr>
            <w:r>
              <w:t xml:space="preserve">MLX90614, MPU6050, GPS</w:t>
            </w:r>
          </w:p>
        </w:tc>
        <w:tc>
          <w:tcPr/>
          <w:p>
            <w:pPr>
              <w:pStyle w:val="Compact"/>
            </w:pPr>
            <w:r>
              <w:t xml:space="preserve">Extras no especificados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Interpretación:</w:t>
      </w:r>
    </w:p>
    <w:p>
      <w:pPr>
        <w:pStyle w:val="Compact"/>
        <w:numPr>
          <w:ilvl w:val="0"/>
          <w:numId w:val="1003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material particulado (humo)</w:t>
      </w:r>
      <w:r>
        <w:t xml:space="preserve"> </w:t>
      </w:r>
      <w:r>
        <w:t xml:space="preserve">es central para</w:t>
      </w:r>
      <w:r>
        <w:t xml:space="preserve"> </w:t>
      </w:r>
      <w:r>
        <w:t xml:space="preserve">“detectar incendios”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no está en el diseño</w:t>
      </w:r>
      <w:r>
        <w:t xml:space="preserve">. Es el hallazgo más relevante.</w:t>
      </w:r>
    </w:p>
    <w:p>
      <w:pPr>
        <w:pStyle w:val="Compact"/>
        <w:numPr>
          <w:ilvl w:val="0"/>
          <w:numId w:val="1003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SGP30</w:t>
      </w:r>
      <w:r>
        <w:t xml:space="preserve"> </w:t>
      </w:r>
      <w:r>
        <w:t xml:space="preserve">es un sensor de compuestos orgánicos volátiles (VOC) calibrado para interiores; responde a gases de combustión, pero</w:t>
      </w:r>
      <w:r>
        <w:t xml:space="preserve"> </w:t>
      </w:r>
      <w:r>
        <w:rPr>
          <w:b/>
          <w:bCs/>
        </w:rPr>
        <w:t xml:space="preserve">no es confiable como medidor de calidad de aire o humo</w:t>
      </w:r>
      <w:r>
        <w:t xml:space="preserve"> </w:t>
      </w:r>
      <w:r>
        <w:t xml:space="preserve">en exterior y en caída libre. El</w:t>
      </w:r>
      <w:r>
        <w:t xml:space="preserve"> </w:t>
      </w:r>
      <w:r>
        <w:rPr>
          <w:b/>
          <w:bCs/>
        </w:rPr>
        <w:t xml:space="preserve">MQ-135</w:t>
      </w:r>
      <w:r>
        <w:t xml:space="preserve"> </w:t>
      </w:r>
      <w:r>
        <w:t xml:space="preserve">especificado es más apropiado para gases de combustión.</w:t>
      </w:r>
    </w:p>
    <w:p>
      <w:pPr>
        <w:pStyle w:val="Compact"/>
        <w:numPr>
          <w:ilvl w:val="0"/>
          <w:numId w:val="1003"/>
        </w:numPr>
      </w:pPr>
      <w:r>
        <w:t xml:space="preserve">Los sensores</w:t>
      </w:r>
      <w:r>
        <w:t xml:space="preserve"> </w:t>
      </w:r>
      <w:r>
        <w:rPr>
          <w:b/>
          <w:bCs/>
        </w:rPr>
        <w:t xml:space="preserve">extra</w:t>
      </w:r>
      <w:r>
        <w:t xml:space="preserve"> </w:t>
      </w:r>
      <w:r>
        <w:t xml:space="preserve">(no en el spec) pueden justificarse dentro de la narrativa de la misión: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GPS</w:t>
      </w:r>
      <w:r>
        <w:t xml:space="preserve">: justificado — la estación terrena rastrea el CanSat en mapa y apoya la recuperación.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MPU6050 (IMU)</w:t>
      </w:r>
      <w:r>
        <w:t xml:space="preserve">: justificable — verifica la orientación vertical (que el documento marca como crítica) y la dinámica del descenso.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MLX90614 (IR)</w:t>
      </w:r>
      <w:r>
        <w:t xml:space="preserve">: el más cuestionable; defendible solo como</w:t>
      </w:r>
      <w:r>
        <w:t xml:space="preserve"> </w:t>
      </w:r>
      <w:r>
        <w:t xml:space="preserve">“temperatura de superficie remota”</w:t>
      </w:r>
      <w:r>
        <w:t xml:space="preserve"> </w:t>
      </w:r>
      <w:r>
        <w:t xml:space="preserve">(suelo seco/caliente). Candidato a eliminarse para ahorrar masa.</w:t>
      </w:r>
    </w:p>
    <w:bookmarkEnd w:id="23"/>
    <w:bookmarkStart w:id="24" w:name="restricciones-cansat-aún-no-verificadas"/>
    <w:p>
      <w:pPr>
        <w:pStyle w:val="Heading1"/>
      </w:pPr>
      <w:r>
        <w:t xml:space="preserve">4. Restricciones CanSat aún no verificadas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Masa (300 g)</w:t>
      </w:r>
      <w:r>
        <w:t xml:space="preserve">: con DevKit ESP32 + 4–5 módulos de sensor + GPS + LoRa + 3 PCBs + LiPo + estructura, el conjunto</w:t>
      </w:r>
      <w:r>
        <w:t xml:space="preserve"> </w:t>
      </w:r>
      <w:r>
        <w:rPr>
          <w:b/>
          <w:bCs/>
        </w:rPr>
        <w:t xml:space="preserve">probablemente excede los 300 g</w:t>
      </w:r>
      <w:r>
        <w:t xml:space="preserve">. Se requiere un</w:t>
      </w:r>
      <w:r>
        <w:t xml:space="preserve"> </w:t>
      </w:r>
      <w:r>
        <w:rPr>
          <w:b/>
          <w:bCs/>
        </w:rPr>
        <w:t xml:space="preserve">presupuesto de masa</w:t>
      </w:r>
      <w:r>
        <w:t xml:space="preserve"> </w:t>
      </w:r>
      <w:r>
        <w:t xml:space="preserve">formal. El</w:t>
      </w:r>
      <w:r>
        <w:t xml:space="preserve"> </w:t>
      </w:r>
      <w:r>
        <w:rPr>
          <w:b/>
          <w:bCs/>
        </w:rPr>
        <w:t xml:space="preserve">DevKit es pesado y voluminoso</w:t>
      </w:r>
      <w:r>
        <w:t xml:space="preserve">; un módulo ESP32</w:t>
      </w:r>
      <w:r>
        <w:t xml:space="preserve"> </w:t>
      </w:r>
      <w:r>
        <w:t xml:space="preserve">“desnudo”</w:t>
      </w:r>
      <w:r>
        <w:t xml:space="preserve"> </w:t>
      </w:r>
      <w:r>
        <w:t xml:space="preserve">(WROOM) ahorraría masa y volumen.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</w:t>
      </w:r>
      <w:r>
        <w:rPr>
          <w:b/>
          <w:bCs/>
        </w:rPr>
        <w:t xml:space="preserve"> </w:t>
      </w:r>
      <w:r>
        <w:rPr>
          <w:b/>
          <w:bCs/>
        </w:rPr>
        <w:t xml:space="preserve">“1C”</w:t>
      </w:r>
      <w:r>
        <w:rPr>
          <w:b/>
          <w:bCs/>
        </w:rPr>
        <w:t xml:space="preserve"> </w:t>
      </w:r>
      <w:r>
        <w:rPr>
          <w:b/>
          <w:bCs/>
        </w:rPr>
        <w:t xml:space="preserve">(~ 66 mm Ø)</w:t>
      </w:r>
      <w:r>
        <w:t xml:space="preserve">: las placas diseñadas (Ø62 mm) caben, pero el</w:t>
      </w:r>
      <w:r>
        <w:t xml:space="preserve"> </w:t>
      </w:r>
      <w:r>
        <w:rPr>
          <w:b/>
          <w:bCs/>
        </w:rPr>
        <w:t xml:space="preserve">apilado de 3 placas + batería</w:t>
      </w:r>
      <w:r>
        <w:t xml:space="preserve"> </w:t>
      </w:r>
      <w:r>
        <w:t xml:space="preserve">debe entrar en la altura de una lata CanSat (~115 mm). Margen ajustado.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RBF pin (Remove Before Flight)</w:t>
      </w:r>
      <w:r>
        <w:t xml:space="preserve">: requisito de seguridad para cortar toda la energía. Existe un interruptor (SW1) pero</w:t>
      </w:r>
      <w:r>
        <w:t xml:space="preserve"> </w:t>
      </w:r>
      <w:r>
        <w:rPr>
          <w:b/>
          <w:bCs/>
        </w:rPr>
        <w:t xml:space="preserve">falta un RBF pin/conector dedicado</w:t>
      </w:r>
      <w:r>
        <w:t xml:space="preserve"> </w:t>
      </w:r>
      <w:r>
        <w:t xml:space="preserve">en el diseño de potencia.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Protección de batería</w:t>
      </w:r>
      <w:r>
        <w:t xml:space="preserve">: requerida; alineada con la recomendación previa de protección para LiPo 1S.</w:t>
      </w:r>
    </w:p>
    <w:bookmarkEnd w:id="24"/>
    <w:bookmarkStart w:id="25" w:name="firmware-e-índices-de-misión"/>
    <w:p>
      <w:pPr>
        <w:pStyle w:val="Heading1"/>
      </w:pPr>
      <w:r>
        <w:t xml:space="preserve">5. Firmware e índices de misión</w:t>
      </w:r>
    </w:p>
    <w:p>
      <w:pPr>
        <w:pStyle w:val="Compact"/>
        <w:numPr>
          <w:ilvl w:val="0"/>
          <w:numId w:val="1006"/>
        </w:numPr>
      </w:pPr>
      <w:r>
        <w:t xml:space="preserve">Existe un</w:t>
      </w:r>
      <w:r>
        <w:t xml:space="preserve"> </w:t>
      </w:r>
      <w:r>
        <w:rPr>
          <w:b/>
          <w:bCs/>
        </w:rPr>
        <w:t xml:space="preserve">esqueleto de firmware</w:t>
      </w:r>
      <w:r>
        <w:t xml:space="preserve"> </w:t>
      </w:r>
      <w:r>
        <w:t xml:space="preserve">con el mapa de pines verificado, lectura de sensores, cálculo preliminar del</w:t>
      </w:r>
      <w:r>
        <w:t xml:space="preserve"> </w:t>
      </w:r>
      <w:r>
        <w:rPr>
          <w:b/>
          <w:bCs/>
        </w:rPr>
        <w:t xml:space="preserve">índice de fuego</w:t>
      </w:r>
      <w:r>
        <w:t xml:space="preserve"> </w:t>
      </w:r>
      <w:r>
        <w:t xml:space="preserve">(VPD y</w:t>
      </w:r>
      <w:r>
        <w:t xml:space="preserve"> </w:t>
      </w:r>
      <w:r>
        <w:rPr>
          <w:i/>
          <w:iCs/>
        </w:rPr>
        <w:t xml:space="preserve">Chandler Burning Index</w:t>
      </w:r>
      <w:r>
        <w:t xml:space="preserve"> </w:t>
      </w:r>
      <w:r>
        <w:t xml:space="preserve">a partir de T/HR), registro en microSD y telemetría LoRa.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Falta el índice de calidad de comunicación</w:t>
      </w:r>
      <w:r>
        <w:t xml:space="preserve"> </w:t>
      </w:r>
      <w:r>
        <w:t xml:space="preserve">(misión secundaria): el firmware debe enviar</w:t>
      </w:r>
      <w:r>
        <w:t xml:space="preserve"> </w:t>
      </w:r>
      <w:r>
        <w:rPr>
          <w:b/>
          <w:bCs/>
        </w:rPr>
        <w:t xml:space="preserve">número de secuencia</w:t>
      </w:r>
      <w:r>
        <w:t xml:space="preserve"> </w:t>
      </w:r>
      <w:r>
        <w:t xml:space="preserve">por paquete, y la</w:t>
      </w:r>
      <w:r>
        <w:t xml:space="preserve"> </w:t>
      </w:r>
      <w:r>
        <w:rPr>
          <w:b/>
          <w:bCs/>
        </w:rPr>
        <w:t xml:space="preserve">estación terrena</w:t>
      </w:r>
      <w:r>
        <w:t xml:space="preserve"> </w:t>
      </w:r>
      <w:r>
        <w:t xml:space="preserve">debe medir</w:t>
      </w:r>
      <w:r>
        <w:t xml:space="preserve"> </w:t>
      </w:r>
      <w:r>
        <w:rPr>
          <w:b/>
          <w:bCs/>
        </w:rPr>
        <w:t xml:space="preserve">RSSI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pérdida de paquetes</w:t>
      </w:r>
      <w:r>
        <w:t xml:space="preserve"> </w:t>
      </w:r>
      <w:r>
        <w:t xml:space="preserve">contra altitud. Es un</w:t>
      </w:r>
      <w:r>
        <w:t xml:space="preserve"> </w:t>
      </w:r>
      <w:r>
        <w:rPr>
          <w:b/>
          <w:bCs/>
        </w:rPr>
        <w:t xml:space="preserve">entregable obligatorio</w:t>
      </w:r>
      <w:r>
        <w:t xml:space="preserve"> </w:t>
      </w:r>
      <w:r>
        <w:t xml:space="preserve">aún no implementado.</w:t>
      </w:r>
    </w:p>
    <w:bookmarkEnd w:id="25"/>
    <w:bookmarkStart w:id="26" w:name="riesgos-y-cronograma"/>
    <w:p>
      <w:pPr>
        <w:pStyle w:val="Heading1"/>
      </w:pPr>
      <w:r>
        <w:t xml:space="preserve">6. Riesgos y cronograma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Hoy: 23 de junio de 2026.</w:t>
      </w:r>
      <w:r>
        <w:t xml:space="preserve"> </w:t>
      </w:r>
      <w:r>
        <w:t xml:space="preserve">El</w:t>
      </w:r>
      <w:r>
        <w:t xml:space="preserve"> </w:t>
      </w:r>
      <w:r>
        <w:rPr>
          <w:i/>
          <w:iCs/>
        </w:rPr>
        <w:t xml:space="preserve">full flight test</w:t>
      </w:r>
      <w:r>
        <w:t xml:space="preserve"> </w:t>
      </w:r>
      <w:r>
        <w:t xml:space="preserve">estaba programado para el 22 de junio. Competencia:</w:t>
      </w:r>
      <w:r>
        <w:t xml:space="preserve"> </w:t>
      </w:r>
      <w:r>
        <w:rPr>
          <w:b/>
          <w:bCs/>
        </w:rPr>
        <w:t xml:space="preserve">2–5 de septiembre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~10 semanas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Riesgo principal: el margen de tiempo</w:t>
      </w:r>
      <w:r>
        <w:t xml:space="preserve"> </w:t>
      </w:r>
      <w:r>
        <w:rPr>
          <w:b/>
          <w:bCs/>
        </w:rPr>
        <w:t xml:space="preserve">no permite rediseños grandes</w:t>
      </w:r>
      <w:r>
        <w:t xml:space="preserve">. La decisión de sensores (sección 3) debe cerrarse de inmediato para no comprometer la fabricación de la(s) PCB(s).</w:t>
      </w:r>
    </w:p>
    <w:p>
      <w:pPr>
        <w:pStyle w:val="Compact"/>
        <w:numPr>
          <w:ilvl w:val="0"/>
          <w:numId w:val="1007"/>
        </w:numPr>
      </w:pPr>
      <w:r>
        <w:t xml:space="preserve">Riesgo secundario: si la masa excede 300 g, podría requerir recortar sensores tarde en el ciclo.</w:t>
      </w:r>
    </w:p>
    <w:bookmarkEnd w:id="26"/>
    <w:bookmarkStart w:id="27" w:name="recomendaciones-priorizadas"/>
    <w:p>
      <w:pPr>
        <w:pStyle w:val="Heading1"/>
      </w:pPr>
      <w:r>
        <w:t xml:space="preserve">7. Recomendaciones priorizadas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Decisión / acción</w:t>
            </w:r>
          </w:p>
        </w:tc>
        <w:tc>
          <w:tcPr/>
          <w:p>
            <w:pPr>
              <w:pStyle w:val="Compact"/>
            </w:pPr>
            <w:r>
              <w:t xml:space="preserve">Responsable sugerido</w:t>
            </w:r>
          </w:p>
        </w:tc>
        <w:tc>
          <w:tcPr/>
          <w:p>
            <w:pPr>
              <w:pStyle w:val="Compact"/>
            </w:pPr>
            <w:r>
              <w:t xml:space="preserve">Urgencia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Definir sensores de gas y humo</w:t>
            </w:r>
            <w:r>
              <w:t xml:space="preserve">: ¿agregar sensor de</w:t>
            </w:r>
            <w:r>
              <w:t xml:space="preserve"> </w:t>
            </w:r>
            <w:r>
              <w:rPr>
                <w:b/>
                <w:bCs/>
              </w:rPr>
              <w:t xml:space="preserve">material particulado</w:t>
            </w:r>
            <w:r>
              <w:t xml:space="preserve"> </w:t>
            </w:r>
            <w:r>
              <w:t xml:space="preserve">(p. ej. PMS5003) +</w:t>
            </w:r>
            <w:r>
              <w:t xml:space="preserve"> </w:t>
            </w:r>
            <w:r>
              <w:rPr>
                <w:b/>
                <w:bCs/>
              </w:rPr>
              <w:t xml:space="preserve">MQ-135</w:t>
            </w:r>
            <w:r>
              <w:t xml:space="preserve">, o defender formalmente SGP30/MLX como sustitutos?</w:t>
            </w:r>
          </w:p>
        </w:tc>
        <w:tc>
          <w:tcPr/>
          <w:p>
            <w:pPr>
              <w:pStyle w:val="Compact"/>
            </w:pPr>
            <w:r>
              <w:t xml:space="preserve">Tecnología + Liderazgo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Inmediata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Presupuesto de masa</w:t>
            </w:r>
            <w:r>
              <w:t xml:space="preserve"> </w:t>
            </w:r>
            <w:r>
              <w:t xml:space="preserve">vs 300 g; evaluar cambiar DevKit por módulo WROOM y/o eliminar MLX90614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Implementar RSSI + pérdida de paquetes</w:t>
            </w:r>
            <w:r>
              <w:t xml:space="preserve"> </w:t>
            </w:r>
            <w:r>
              <w:t xml:space="preserve">en firmware y estación terrena</w:t>
            </w:r>
          </w:p>
        </w:tc>
        <w:tc>
          <w:tcPr/>
          <w:p>
            <w:pPr>
              <w:pStyle w:val="Compact"/>
            </w:pPr>
            <w:r>
              <w:t xml:space="preserve">Software / Comunicaciones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Diseñar el RBF pin</w:t>
            </w:r>
            <w:r>
              <w:t xml:space="preserve"> </w:t>
            </w:r>
            <w:r>
              <w:t xml:space="preserve">y confirmar protección de batería</w:t>
            </w:r>
          </w:p>
        </w:tc>
        <w:tc>
          <w:tcPr/>
          <w:p>
            <w:pPr>
              <w:pStyle w:val="Compact"/>
            </w:pPr>
            <w:r>
              <w:t xml:space="preserve">Electrónica / Seguridad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Alinear el documento oficial de misión con el hardware real</w:t>
            </w:r>
            <w:r>
              <w:t xml:space="preserve"> </w:t>
            </w:r>
            <w:r>
              <w:t xml:space="preserve">(o viceversa) antes de la competencia</w:t>
            </w:r>
          </w:p>
        </w:tc>
        <w:tc>
          <w:tcPr/>
          <w:p>
            <w:pPr>
              <w:pStyle w:val="Compact"/>
            </w:pPr>
            <w:r>
              <w:t xml:space="preserve">Liderazgo / Documentación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</w:tbl>
    <w:bookmarkEnd w:id="27"/>
    <w:bookmarkStart w:id="28" w:name="conclusión"/>
    <w:p>
      <w:pPr>
        <w:pStyle w:val="Heading1"/>
      </w:pPr>
      <w:r>
        <w:t xml:space="preserve">8. Conclusión</w:t>
      </w:r>
    </w:p>
    <w:p>
      <w:pPr>
        <w:pStyle w:val="FirstParagraph"/>
      </w:pPr>
      <w:r>
        <w:t xml:space="preserve">El diseño electrónico está</w:t>
      </w:r>
      <w:r>
        <w:t xml:space="preserve"> </w:t>
      </w:r>
      <w:r>
        <w:rPr>
          <w:b/>
          <w:bCs/>
        </w:rPr>
        <w:t xml:space="preserve">eléctricamente sano y verificado</w:t>
      </w:r>
      <w:r>
        <w:t xml:space="preserve">. El riesgo ya no está en el cableado, sino en la</w:t>
      </w:r>
      <w:r>
        <w:t xml:space="preserve"> </w:t>
      </w:r>
      <w:r>
        <w:rPr>
          <w:b/>
          <w:bCs/>
        </w:rPr>
        <w:t xml:space="preserve">alineación con los objetivos de la misión</w:t>
      </w:r>
      <w:r>
        <w:t xml:space="preserve">: faltan o se sustituyeron los sensores que dan sentido al objetivo de</w:t>
      </w:r>
      <w:r>
        <w:t xml:space="preserve"> </w:t>
      </w:r>
      <w:r>
        <w:t xml:space="preserve">“detección de incendios”</w:t>
      </w:r>
      <w:r>
        <w:t xml:space="preserve">, no se ha verificado la masa contra el límite de 300 g, y falta el índice de calidad de comunicación.</w:t>
      </w:r>
    </w:p>
    <w:p>
      <w:pPr>
        <w:pStyle w:val="BodyText"/>
      </w:pPr>
      <w:r>
        <w:t xml:space="preserve">La decisión más urgente es la</w:t>
      </w:r>
      <w:r>
        <w:t xml:space="preserve"> </w:t>
      </w:r>
      <w:r>
        <w:rPr>
          <w:b/>
          <w:bCs/>
        </w:rPr>
        <w:t xml:space="preserve">#1 (sensores de gas y material particulado)</w:t>
      </w:r>
      <w:r>
        <w:t xml:space="preserve">, porque define si el hardware cumple su misión y porque cualquier cambio afecta la fabricación de la PCB con poco tiempo disponible.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técnico interno — Equipo IGNITIA, CanSat IGNIS-1 (LASC 2026). Preparado para revisión de dirección.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Alineación Técnica — CanSat IGNIS-1</dc:title>
  <dc:creator>Área de Electrónica / Aviónica — Equipo IGNITIA</dc:creator>
  <dc:language>es</dc:language>
  <cp:keywords/>
  <dcterms:created xsi:type="dcterms:W3CDTF">2026-06-23T17:44:34Z</dcterms:created>
  <dcterms:modified xsi:type="dcterms:W3CDTF">2026-06-23T17:44:34Z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de junio de 2026</vt:lpwstr>
  </property>
  <property fmtid="{D5CDD505-2E9C-101B-9397-08002B2CF9AE}" pid="3" name="fontsize">
    <vt:lpwstr>11pt</vt:lpwstr>
  </property>
  <property fmtid="{D5CDD505-2E9C-101B-9397-08002B2CF9AE}" pid="4" name="geometry">
    <vt:lpwstr>margin=2.5cm</vt:lpwstr>
  </property>
  <property fmtid="{D5CDD505-2E9C-101B-9397-08002B2CF9AE}" pid="5" name="subtitle">
    <vt:lpwstr>Revisión del diseño electrónico frente a los objetivos de misión (LASC 2026)</vt:lpwstr>
  </property>
  <property fmtid="{D5CDD505-2E9C-101B-9397-08002B2CF9AE}" pid="6" name="toc">
    <vt:lpwstr>True</vt:lpwstr>
  </property>
  <property fmtid="{D5CDD505-2E9C-101B-9397-08002B2CF9AE}" pid="7" name="toc-depth">
    <vt:lpwstr>2</vt:lpwstr>
  </property>
</Properties>
</file>