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240" w:after="120"/>
        <w:jc w:val="center"/>
        <w:rPr>
          <w:rFonts w:ascii="Adwaita Sans" w:hAnsi="Adwaita Sans"/>
          <w:b/>
          <w:bCs/>
          <w:sz w:val="36"/>
          <w:szCs w:val="36"/>
        </w:rPr>
      </w:pPr>
      <w:r>
        <w:rPr>
          <w:rFonts w:eastAsia="Noto Sans Mono CJK SC" w:cs="Liberation Mono" w:ascii="Adwaita Sans" w:hAnsi="Adwaita Sans"/>
          <w:b/>
          <w:bCs/>
          <w:sz w:val="36"/>
          <w:szCs w:val="36"/>
        </w:rPr>
        <w:t xml:space="preserve">Evidencia GA6-220501096-AA3-EV02: Creación de Mockups de Navegación </w:t>
      </w:r>
      <w:r>
        <w:rPr>
          <w:rStyle w:val="Strong"/>
          <w:rFonts w:eastAsia="Noto Sans Mono CJK SC" w:cs="Liberation Mono" w:ascii="Adwaita Sans" w:hAnsi="Adwaita Sans"/>
          <w:sz w:val="36"/>
          <w:szCs w:val="36"/>
        </w:rPr>
        <w:t>Proyecto: Censo Rural – Diseño de Interfaces de Usuario</w:t>
      </w:r>
      <w:bookmarkStart w:id="0" w:name="__DdeLink__484_3751743897"/>
    </w:p>
    <w:p>
      <w:pPr>
        <w:pStyle w:val="PreformattedText"/>
        <w:bidi w:val="0"/>
        <w:spacing w:before="0" w:after="0"/>
        <w:jc w:val="left"/>
        <w:rPr>
          <w:rFonts w:ascii="Adwaita Sans" w:hAnsi="Adwaita Sans"/>
          <w:sz w:val="36"/>
          <w:szCs w:val="36"/>
        </w:rPr>
      </w:pPr>
      <w:r>
        <w:rPr>
          <w:rFonts w:ascii="Adwaita Sans" w:hAnsi="Adwaita Sans"/>
          <w:sz w:val="36"/>
          <w:szCs w:val="36"/>
        </w:rPr>
      </w:r>
    </w:p>
    <w:p>
      <w:pPr>
        <w:pStyle w:val="PreformattedText"/>
        <w:bidi w:val="0"/>
        <w:spacing w:before="0" w:after="0"/>
        <w:jc w:val="lef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left"/>
        <w:rPr>
          <w:rFonts w:ascii="Adwaita Sans" w:hAnsi="Adwaita Sans"/>
        </w:rPr>
      </w:pPr>
      <w:r>
        <w:rPr>
          <w:rFonts w:ascii="Adwaita Sans" w:hAnsi="Adwaita Sans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2506345</wp:posOffset>
            </wp:positionH>
            <wp:positionV relativeFrom="paragraph">
              <wp:posOffset>118745</wp:posOffset>
            </wp:positionV>
            <wp:extent cx="1363980" cy="133731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133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spacing w:before="0" w:after="0"/>
        <w:jc w:val="lef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lef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lef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lef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lef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lef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lef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lef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lef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Title"/>
        <w:rPr>
          <w:rFonts w:ascii="Adwaita Sans" w:hAnsi="Adwaita Sans"/>
        </w:rPr>
      </w:pPr>
      <w:bookmarkStart w:id="1" w:name="docs-internal-guid-255404e9-7fff-4a4b-60"/>
      <w:bookmarkEnd w:id="1"/>
      <w:r>
        <w:rPr>
          <w:rFonts w:ascii="Adwaita Sans" w:hAnsi="Adwaita Sans"/>
          <w:sz w:val="44"/>
          <w:szCs w:val="44"/>
        </w:rPr>
        <w:t>Isidro J. Gallardo Navarro</w:t>
      </w:r>
    </w:p>
    <w:p>
      <w:pPr>
        <w:pStyle w:val="Title"/>
        <w:rPr>
          <w:rFonts w:ascii="Adwaita Sans" w:hAnsi="Adwaita Sans"/>
        </w:rPr>
      </w:pPr>
      <w:r>
        <w:rPr>
          <w:rFonts w:ascii="Adwaita Sans" w:hAnsi="Adwaita Sans"/>
          <w:sz w:val="44"/>
          <w:szCs w:val="44"/>
        </w:rPr>
        <w:t> </w:t>
      </w:r>
    </w:p>
    <w:p>
      <w:pPr>
        <w:pStyle w:val="Title"/>
        <w:rPr>
          <w:rFonts w:ascii="Adwaita Sans" w:hAnsi="Adwaita Sans"/>
        </w:rPr>
      </w:pPr>
      <w:r>
        <w:rPr>
          <w:rFonts w:ascii="Adwaita Sans" w:hAnsi="Adwaita Sans"/>
          <w:sz w:val="44"/>
          <w:szCs w:val="44"/>
        </w:rPr>
        <w:t>Ficha:3070299</w:t>
      </w:r>
    </w:p>
    <w:p>
      <w:pPr>
        <w:pStyle w:val="Title"/>
        <w:rPr>
          <w:rFonts w:ascii="Adwaita Sans" w:hAnsi="Adwaita Sans"/>
        </w:rPr>
      </w:pPr>
      <w:r>
        <w:rPr>
          <w:rFonts w:ascii="Adwaita Sans" w:hAnsi="Adwaita Sans"/>
          <w:sz w:val="44"/>
          <w:szCs w:val="44"/>
        </w:rPr>
        <w:t> </w:t>
      </w:r>
      <w:r>
        <w:rPr>
          <w:rFonts w:ascii="Adwaita Sans" w:hAnsi="Adwaita Sans"/>
          <w:sz w:val="44"/>
          <w:szCs w:val="44"/>
        </w:rPr>
        <w:t>2026</w:t>
      </w:r>
      <w:r>
        <w:rPr>
          <w:rFonts w:ascii="Adwaita Sans" w:hAnsi="Adwaita Sans"/>
          <w:b w:val="false"/>
          <w:i w:val="false"/>
          <w:sz w:val="44"/>
          <w:szCs w:val="44"/>
        </w:rPr>
        <w:t> </w:t>
      </w:r>
    </w:p>
    <w:p>
      <w:pPr>
        <w:pStyle w:val="Title"/>
        <w:rPr>
          <w:rFonts w:ascii="Adwaita Sans" w:hAnsi="Adwaita Sans"/>
        </w:rPr>
      </w:pPr>
      <w:r>
        <w:rPr>
          <w:rFonts w:ascii="Adwaita Sans" w:hAnsi="Adwaita Sans"/>
          <w:b w:val="false"/>
          <w:i w:val="false"/>
          <w:sz w:val="44"/>
          <w:szCs w:val="44"/>
        </w:rPr>
        <w:t> </w:t>
      </w:r>
    </w:p>
    <w:p>
      <w:pPr>
        <w:pStyle w:val="Title"/>
        <w:rPr>
          <w:rFonts w:ascii="Adwaita Sans" w:hAnsi="Adwaita Sans"/>
        </w:rPr>
      </w:pPr>
      <w:r>
        <w:rPr>
          <w:rFonts w:ascii="Adwaita Sans" w:hAnsi="Adwaita Sans"/>
          <w:sz w:val="44"/>
          <w:szCs w:val="44"/>
        </w:rPr>
        <w:t>Tecnología en Análisis y Desarrollo de Software.</w:t>
      </w:r>
    </w:p>
    <w:p>
      <w:pPr>
        <w:pStyle w:val="Title"/>
        <w:rPr>
          <w:rFonts w:ascii="Adwaita Sans" w:hAnsi="Adwaita Sans"/>
        </w:rPr>
      </w:pPr>
      <w:bookmarkStart w:id="2" w:name="__DdeLink__312_1991315243"/>
      <w:bookmarkStart w:id="3" w:name="__DdeLink__308_1991315243"/>
      <w:r>
        <w:rPr>
          <w:rFonts w:eastAsia="Noto Sans Mono CJK SC" w:cs="Liberation Mono" w:ascii="Adwaita Sans" w:hAnsi="Adwaita Sans"/>
          <w:sz w:val="44"/>
          <w:szCs w:val="44"/>
        </w:rPr>
        <w:t>ADSO</w:t>
      </w:r>
      <w:bookmarkEnd w:id="0"/>
      <w:bookmarkEnd w:id="2"/>
      <w:bookmarkEnd w:id="3"/>
    </w:p>
    <w:p>
      <w:pPr>
        <w:pStyle w:val="PreformattedText"/>
        <w:bidi w:val="0"/>
        <w:spacing w:before="0" w:after="0"/>
        <w:jc w:val="lef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Heading1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</w:r>
    </w:p>
    <w:p>
      <w:pPr>
        <w:pStyle w:val="Body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</w:r>
    </w:p>
    <w:p>
      <w:pPr>
        <w:pStyle w:val="BodyText"/>
        <w:bidi w:val="0"/>
        <w:spacing w:lineRule="auto" w:line="360" w:before="0" w:after="0"/>
        <w:jc w:val="both"/>
        <w:rPr>
          <w:rFonts w:ascii="Adwaita Sans" w:hAnsi="Adwaita Sans"/>
          <w:sz w:val="26"/>
          <w:szCs w:val="26"/>
        </w:rPr>
      </w:pPr>
      <w:r>
        <w:rPr>
          <w:rFonts w:ascii="Adwaita Sans" w:hAnsi="Adwaita Sans"/>
          <w:sz w:val="26"/>
          <w:szCs w:val="26"/>
        </w:rPr>
      </w:r>
    </w:p>
    <w:p>
      <w:pPr>
        <w:pStyle w:val="Heading2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1. Introducción y Contextualización</w:t>
      </w:r>
    </w:p>
    <w:p>
      <w:pPr>
        <w:pStyle w:val="Heading3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1.1 Propósito de los Mockups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Los mockups o prototipos de baja fidelidad son representaciones visuales estáticas que permiten visualizar la disposición de los componentes de la interfaz de usuario y el flujo de navegación antes de la codificación final. Su propósito es validar con los stakeholders que el diseño cumple con los requerimientos funcionales, detectar problemas de usabilidad tempranamente y servir como guía definitiva para el equipo de desarrollo frontend.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En el contexto de metodologías ágiles como XP (Extreme Programming), los mockups facilitan la comunicación con el cliente y permiten iteraciones rápidas del diseño sin incurrir en costos elevados de recodificación.</w:t>
      </w:r>
    </w:p>
    <w:p>
      <w:pPr>
        <w:pStyle w:val="Heading3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1.2 Contexto del Proyecto "Censo Rural"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El proyecto "Censo Rural" es un sistema de información diseñado para la recolección, gestión y análisis de datos personales de habitantes en zonas rurales apartadas de Colombia. El contexto operativo presenta desafíos únicos que impactan directamente el diseño de la interfaz: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Desafíos de usabilidad: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Usuarios con nivel educativo básico: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Encuestadores pueden tener formación técnica limitada, requiriendo interfaces intuitivas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Conectividad intermitente: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La aplicación debe funcionar offline-first con sincronización posterior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Dispositivos limitados: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Tablets Android de gama media con pantallas de 7-10 pulgadas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36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Condiciones ambientales adversas: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Uso en exteriores con luz solar directa, requiere alto contraste 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Importancia de la interfaz amigable: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Una interfaz bien diseñada para el "Censo Rural" garantiza: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Reducción de errores de captura de datos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Mayor productividad de encuestadores (más registros por día)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Menor curva de aprendizaje y capacitación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Satisfacción del usuario final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6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Calidad superior en los datos recolectados </w:t>
      </w:r>
    </w:p>
    <w:p>
      <w:pPr>
        <w:pStyle w:val="Heading3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1.3 Objetivo de la Evidencia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Desarrollar el diseño visual completo de los elementos principales del software "Censo Rural", garantizando que la navegación sea intuitiva, el flujo de trabajo sea eficiente y el diseño cumpla rigurosamente con los requerimientos funcionales especificados. Los mockups deben representar fielmente: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Página de inicio (Home) con información del proyecto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Formulario de captura de datos censales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Flujo de navegación entre pantallas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Estados de interacción (éxito, error, carga)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36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Adaptabilidad responsive (móvil y escritorio) </w:t>
      </w:r>
    </w:p>
    <w:p>
      <w:pPr>
        <w:pStyle w:val="Heading2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2. Definición de Componentes Base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Siguiendo patrones de diseño reutilizables y estándares de la industria, los mockups integran los siguientes componentes estructurales:</w:t>
      </w:r>
    </w:p>
    <w:p>
      <w:pPr>
        <w:pStyle w:val="Heading3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2.1 Barra de Navegación (Navbar)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Propósito: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Proporcionar acceso rápido a las secciones principales del sistema.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Elementos incluidos: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Logotipo del proyecto: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Identificación visual en esquina superior izquierda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Enlaces de navegación: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lineRule="auto" w:line="360" w:before="0" w:after="0"/>
        <w:ind w:hanging="283" w:left="1418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Inicio: Retorna a la página principal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lineRule="auto" w:line="360" w:before="0" w:after="0"/>
        <w:ind w:hanging="283" w:left="1418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Formulario: Acceso directo a captura de datos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lineRule="auto" w:line="360" w:before="0" w:after="0"/>
        <w:ind w:hanging="283" w:left="1418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Ayuda: Guías y documentación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lineRule="auto" w:line="360" w:before="0" w:after="0"/>
        <w:ind w:hanging="283" w:left="1418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Perfil: Información del encuestador conectado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Indicador de conectividad: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Ícono que muestra estado online/offline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36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Menú hamburguesa: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Versión móvil colapsable 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Especificaciones técnicas: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Altura: 60px (escritorio), 56px (móvil)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Color de fondo: #2563eb (azul primario)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Color de texto: #ffffff (blanco)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6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Posición: Fixed top (permanece visible al hacer scroll) 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[ESPACIO PARA IMAGEN: Mockup de Navbar - Versión Escritorio]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[ESPACIO PARA IMAGEN: Mockup de Navbar - Versión Móvil]</w:t>
      </w:r>
    </w:p>
    <w:p>
      <w:pPr>
        <w:pStyle w:val="Heading3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2.2 Pie de Página (Footer)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Propósito: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Proporcionar información institucional, enlaces legales y opciones de configuración.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Secciones incluidas: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Columna 1 - Recursos: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Documentación técnica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Preguntas frecuentes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Contacto soporte 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Columna 2 - Legal: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Términos y condiciones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Política de privacidad (Ley 1581/2012)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36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Aviso de tratamiento de datos 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Columna 3 - Configuración: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Modo oscuro/claro (toggle switch)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Idioma (Español/Inglés)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36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Tamaño de fuente (accesibilidad) 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Columna 4 - Suscripción: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Campo de email para boletín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36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Botón "Suscribirse" 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Especificaciones técnicas: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Altura: ~200px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Color de fondo: #1e293b (gris oscuro)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Color de texto: #cbd5e1 (gris claro)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uto" w:line="36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Layout: CSS Grid 4 columnas (escritorio), 1 columna (móvil) 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[ESPACIO PARA IMAGEN: Mockup de Footer Completo]</w:t>
      </w:r>
    </w:p>
    <w:p>
      <w:pPr>
        <w:pStyle w:val="Heading3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2.3 Modelos de Tarjetas (Cards)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Propósito: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Visualización resumida de información en la página principal.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Estructura de cada Card: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Imagen superior: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Ilustración representativa (200x150px)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Título: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Encabezado descriptivo (H3, 18px, font-weight: 600)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Descripción: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Texto breve explicativo (2-3 líneas)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uto" w:line="36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Botón de acción: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"Más información" o "Iniciar" 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Cards incluidas en Home: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Card 1: Recolección de Datos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Descripción: Sistema de captura offline para encuestadores en campo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uto" w:line="36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Ícono: Formulario 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Card 2: Análisis en Tiempo Real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Descripción: Dashboards con estadísticas demográficas actualizadas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36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Ícono: Gráficos 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Card 3: Seguridad de Datos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Descripción: Cumplimiento Ley 1581/2012, cifrado y trazabilidad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uto" w:line="36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Ícono: Candado 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Especificaciones técnicas: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Ancho: 300px (fijo), altura: auto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Borde: 1px solid #e5e7eb, border-radius: 8px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Sombra: box-shadow: 0 4px 6px rgba(0,0,0,0.1)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lineRule="auto" w:line="36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Hover: Elevación (translateY: -4px) 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[ESPACIO PARA IMAGEN: Grid de Cards en Página Home]</w:t>
      </w:r>
    </w:p>
    <w:p>
      <w:pPr>
        <w:pStyle w:val="Heading3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2.4 Lista Ordenada de Pasos (Process Steps)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Propósito: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Representar visualmente las etapas del proceso de implementación del censo.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Pasos incluidos: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Paso 1: Planifica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Definición de zonas geográficas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Asignación de encuestadores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lineRule="auto" w:line="36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Configuración de formularios 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Paso 2: Diseña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Personalización de cuestionarios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Configuración de validaciones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lineRule="auto" w:line="36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Definición de flujos de trabajo 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Paso 3: Implementa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Capacitación de encuestadores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Distribución de dispositivos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lineRule="auto" w:line="36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Captura de datos en campo 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Paso 4: Lanza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Sincronización de datos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Generación de reportes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lineRule="auto" w:line="36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Análisis de resultados 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Especificaciones visuales: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Diseño horizontal (escritorio), vertical (móvil)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Números en círculos: 60px diámetro, fondo degradado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Línea conectora entre pasos: 2px dashed #cbd5e1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lineRule="auto" w:line="36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Animación: Progreso activo resaltado 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[ESPACIO PARA IMAGEN: Visualización de Process Steps]</w:t>
      </w:r>
    </w:p>
    <w:p>
      <w:pPr>
        <w:pStyle w:val="Heading2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3. Diseño del Formulario de Captura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El formulario de captura de datos censales es la funcionalidad crítica del sistema. Su diseño debe minimizar errores de entrada y maximizar la eficiencia de captura.</w:t>
      </w:r>
    </w:p>
    <w:p>
      <w:pPr>
        <w:pStyle w:val="Heading3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3.1 Estructura del Formulario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El formulario se organiza en secciones lógicas colapsables para facilitar la navegación: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Sección 1: Identificación Oficial</w:t>
      </w:r>
    </w:p>
    <w:p>
      <w:pPr>
        <w:pStyle w:val="Body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[ESPACIO PARA IMAGEN: Sección Identificación del Formulario]</w:t>
      </w:r>
    </w:p>
    <w:p>
      <w:pPr>
        <w:pStyle w:val="Body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Sección 2: Datos Personales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[ESPACIO PARA IMAGEN: Sección Datos Personales del Formulario]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Sección 3: Ubicación y Contacto</w:t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[ESPACIO PARA IMAGEN: Sección Ubicación del Formulario]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Sección 4: Información Demográfica</w:t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[ESPACIO PARA IMAGEN: Sección Información Demográfica]</w:t>
      </w:r>
    </w:p>
    <w:p>
      <w:pPr>
        <w:pStyle w:val="Heading3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3.2 Controles de Acción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Botones principales:</w:t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Especificaciones de botones: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Enviar: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Verde (#10b981), texto blanco, ancho 100%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Guardar: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Azul (#3b82f6), texto blanco, ancho 100%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Limpiar: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Gris (#6b7280), texto blanco, ancho 100%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spacing w:lineRule="auto" w:line="36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Todos: height 48px, border-radius 6px, margin 8px 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[ESPACIO PARA IMAGEN: Botones de Acción del Formulario]</w:t>
      </w:r>
    </w:p>
    <w:p>
      <w:pPr>
        <w:pStyle w:val="Heading3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3.3 Validaciones y Feedback Visual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Indicadores de campo válido/inválido: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Estados del formulario: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Estado Cargando:</w:t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Estado Éxito:</w:t>
      </w:r>
    </w:p>
    <w:p>
      <w:pPr>
        <w:pStyle w:val="Heading2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/>
      </w:r>
    </w:p>
    <w:p>
      <w:pPr>
        <w:pStyle w:val="Heading2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4. Flujo de Navegación e Interactividad</w:t>
      </w:r>
    </w:p>
    <w:p>
      <w:pPr>
        <w:pStyle w:val="Heading3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4.1 Mapa de Navegación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 xml:space="preserve">                  </w:t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[ESPACIO PARA IMAGEN: Diagrama de Flujo de Navegación Completo]</w:t>
      </w:r>
    </w:p>
    <w:p>
      <w:pPr>
        <w:pStyle w:val="Heading3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4.2 Página de Inicio (Home)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Estructura visual:</w:t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[ESPACIO PARA IMAGEN: Mockup Página Home Completa]</w:t>
      </w:r>
    </w:p>
    <w:p>
      <w:pPr>
        <w:pStyle w:val="Heading3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4.3 Transiciones y Animaciones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Especificaciones de UX: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spacing w:lineRule="auto" w:line="36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Clic en "Iniciar Censo":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0" w:leader="none"/>
        </w:tabs>
        <w:spacing w:lineRule="auto" w:line="360" w:before="0" w:after="0"/>
        <w:ind w:hanging="283" w:left="1418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Transición: Fade out (300ms) → Slide in formulario (400ms) 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0" w:leader="none"/>
        </w:tabs>
        <w:spacing w:lineRule="auto" w:line="360" w:before="0" w:after="0"/>
        <w:ind w:hanging="283" w:left="1418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Efecto: Smooth scroll hacia formulario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spacing w:lineRule="auto" w:line="36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Envío de formulario: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0" w:leader="none"/>
        </w:tabs>
        <w:spacing w:lineRule="auto" w:line="360" w:before="0" w:after="0"/>
        <w:ind w:hanging="283" w:left="1418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Animación: Botón se transforma en spinner 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0" w:leader="none"/>
        </w:tabs>
        <w:spacing w:lineRule="auto" w:line="360" w:before="0" w:after="0"/>
        <w:ind w:hanging="283" w:left="1418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Duración: 2-5 segundos (según conectividad) 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0" w:leader="none"/>
        </w:tabs>
        <w:spacing w:lineRule="auto" w:line="360" w:before="0" w:after="0"/>
        <w:ind w:hanging="283" w:left="1418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Feedback: Barra de progreso visible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spacing w:lineRule="auto" w:line="36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Navegación entre secciones: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0" w:leader="none"/>
        </w:tabs>
        <w:spacing w:lineRule="auto" w:line="360" w:before="0" w:after="0"/>
        <w:ind w:hanging="283" w:left="1418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Acordeón: Collapse/expand con easing cubic-bezier 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0" w:leader="none"/>
        </w:tabs>
        <w:spacing w:lineRule="auto" w:line="360"/>
        <w:ind w:hanging="283" w:left="1418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Indicador de progreso: Barra superior muestra % completado 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[ESPACIO PARA IMAGEN: Wireframe de Transiciones]</w:t>
      </w:r>
    </w:p>
    <w:p>
      <w:pPr>
        <w:pStyle w:val="Heading2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5. Herramientas y Estándares de Diseño</w:t>
      </w:r>
    </w:p>
    <w:p>
      <w:pPr>
        <w:pStyle w:val="Heading3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5.1 Herramienta de Modelado: Draw.io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Justificación de selección: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Draw.io (diagrams.net) fue seleccionado por: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Gratuito y de código abierto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Soporte de plantillas UI/UX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específicas para mockups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Exportación múltiple: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PNG, SVG, PDF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Colaboración: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Integración con Google Drive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spacing w:lineRule="auto" w:line="36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Biblioteca de componentes: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Material Design, Bootstrap 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Proceso de trabajo: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Creación de biblioteca de componentes reutilizables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Diseño de pantallas individuales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Vinculación de navegación mediante enlaces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spacing w:lineRule="auto" w:line="36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Exportación en alta resolución (300 DPI) </w:t>
      </w:r>
    </w:p>
    <w:p>
      <w:pPr>
        <w:pStyle w:val="Heading3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5.2 Diseño Responsivo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Breakpoints definidos:</w:t>
      </w:r>
    </w:p>
    <w:tbl>
      <w:tblPr>
        <w:tblW w:w="611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53"/>
        <w:gridCol w:w="1266"/>
        <w:gridCol w:w="3600"/>
      </w:tblGrid>
      <w:tr>
        <w:trPr>
          <w:tblHeader w:val="true"/>
        </w:trPr>
        <w:tc>
          <w:tcPr>
            <w:tcW w:w="1253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Dispositivo</w:t>
            </w:r>
          </w:p>
        </w:tc>
        <w:tc>
          <w:tcPr>
            <w:tcW w:w="1266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Ancho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Layout</w:t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Móvil</w:t>
            </w:r>
          </w:p>
        </w:tc>
        <w:tc>
          <w:tcPr>
            <w:tcW w:w="126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320-767px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 columna, menú hamburguesa</w:t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Tablet</w:t>
            </w:r>
          </w:p>
        </w:tc>
        <w:tc>
          <w:tcPr>
            <w:tcW w:w="126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768-1023px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 columnas, menú expandido</w:t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Escritorio</w:t>
            </w:r>
          </w:p>
        </w:tc>
        <w:tc>
          <w:tcPr>
            <w:tcW w:w="126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1024px+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3-4 columnas, navegación completa</w:t>
            </w:r>
          </w:p>
        </w:tc>
      </w:tr>
    </w:tbl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Adaptaciones móviles: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Navbar colapsa en menú hamburguesa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Cards en layout vertical (1 columna)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Formulario: inputs al 100% del ancho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Botones: height aumenta a 56px (táctil)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spacing w:lineRule="auto" w:line="36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Footer: columnas apiladas verticalmente 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/>
      </w:r>
    </w:p>
    <w:p>
      <w:pPr>
        <w:pStyle w:val="Heading3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5.3 Paleta de Colores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Colores primarios: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Azul primario: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#2563eb (botones, navbar)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Verde éxito: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#10b981 (confirmaciones, válido)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Rojo error: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#ef4444 (alertas, inválido)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spacing w:lineRule="auto" w:line="36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Gris neutro: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#6b7280 (texto secundario) 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Colores secundarios: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Azul claro: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#dbeafe (fondos, highlights)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Gris claro: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#f3f4f6 (backgrounds)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spacing w:lineRule="auto" w:line="36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Gris oscuro: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#1f2937 (texto principal, footer) 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Contraste y accesibilidad: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Ratio mínimo: 4.5:1 (WCAG AA)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Texto sobre azul primario: #ffffff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spacing w:lineRule="auto" w:line="36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Texto sobre fondos claros: #1f2937 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[ESPACIO PARA IMAGEN: Paleta de Colores Completa]</w:t>
      </w:r>
    </w:p>
    <w:p>
      <w:pPr>
        <w:pStyle w:val="Heading3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5.4 Tipografía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Fuentes seleccionadas: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Primaria: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Inter (sans-serif, legible en pantallas)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Secundaria: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Roboto (formularios, datos)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spacing w:lineRule="auto" w:line="36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Monospace: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Fira Code (códigos, IDs) 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Jerarquía tipográfica: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H1: 32px, font-weight: 700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H2: 24px, font-weight: 600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H3: 18px, font-weight: 600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Body: 16px, font-weight: 400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spacing w:lineRule="auto" w:line="36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Small: 14px, font-weight: 400 </w:t>
      </w:r>
    </w:p>
    <w:p>
      <w:pPr>
        <w:pStyle w:val="Heading2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6. Conclusiones y Entregables</w:t>
      </w:r>
    </w:p>
    <w:p>
      <w:pPr>
        <w:pStyle w:val="Heading3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6.1 Conclusiones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Los mockups desarrollados para el proyecto "Censo Rural" materializan exitosamente los requerimientos funcionales del cliente y proporcionan una guía visual clara para la fase de desarrollo frontend bajo metodología XP. Los diseños garantizan: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Usabilidad optimizada: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Interfaz intuitiva para encuestadores con formación técnica básica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Funcionalidad offline-first: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Estados visuales claros para sincronización diferida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Cumplimiento normativo: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Checkbox de consentimiento informado visible (Ley 1581/2012)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Responsive design: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Adaptación perfecta a tablets Android y laptops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spacing w:lineRule="auto" w:line="360"/>
        <w:ind w:hanging="283" w:lef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Accesibilidad: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Contraste WCAG AA, tamaños táctiles adecuados (48px mínimo) 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El diseño prioriza la eficiencia de captura, minimiza errores de entrada mediante validaciones visuales y proporciona feedback inmediato al usuario, cumpliendo así con los objetivos del sistema de censo en zonas rurales con conectividad limitada.</w:t>
      </w:r>
    </w:p>
    <w:p>
      <w:pPr>
        <w:pStyle w:val="Heading3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BodyText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BodyText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BodyText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BodyText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BodyText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BodyText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BodyText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BodyText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Heading2"/>
        <w:spacing w:lineRule="auto" w:line="360" w:before="0" w:after="283"/>
        <w:jc w:val="center"/>
        <w:rPr>
          <w:rFonts w:ascii="Adwaita Sans" w:hAnsi="Adwaita Sans" w:eastAsia="Noto Sans Mono CJK SC" w:cs="Liberation Mono"/>
          <w:sz w:val="22"/>
          <w:szCs w:val="22"/>
        </w:rPr>
      </w:pPr>
      <w:r>
        <w:rPr/>
      </w:r>
    </w:p>
    <w:p>
      <w:pPr>
        <w:pStyle w:val="Heading2"/>
        <w:spacing w:lineRule="auto" w:line="360" w:before="0" w:after="283"/>
        <w:jc w:val="center"/>
        <w:rPr/>
      </w:pPr>
      <w:r>
        <w:rPr>
          <w:rFonts w:eastAsia="Noto Sans Mono CJK SC" w:cs="Liberation Mono" w:ascii="Adwaita Sans" w:hAnsi="Adwaita Sans"/>
          <w:sz w:val="22"/>
          <w:szCs w:val="22"/>
        </w:rPr>
        <w:t>Referencias Bibliográficas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Cooper, A., Reimann, R., &amp; Cronin, D. (2014). </w:t>
      </w:r>
      <w:r>
        <w:rPr>
          <w:rStyle w:val="Emphasis"/>
          <w:rFonts w:eastAsia="Noto Sans Mono CJK SC" w:cs="Liberation Mono" w:ascii="Adwaita Sans" w:hAnsi="Adwaita Sans"/>
          <w:sz w:val="22"/>
          <w:szCs w:val="22"/>
        </w:rPr>
        <w:t>About face: The essentials of interaction design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(4th ed.). Wiley.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Garrett, J. J. (2010). </w:t>
      </w:r>
      <w:r>
        <w:rPr>
          <w:rStyle w:val="Emphasis"/>
          <w:rFonts w:eastAsia="Noto Sans Mono CJK SC" w:cs="Liberation Mono" w:ascii="Adwaita Sans" w:hAnsi="Adwaita Sans"/>
          <w:sz w:val="22"/>
          <w:szCs w:val="22"/>
        </w:rPr>
        <w:t>The elements of user experience: User-centered design for the web and beyond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(2nd ed.). New Riders.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Krug, S. (2014). </w:t>
      </w:r>
      <w:r>
        <w:rPr>
          <w:rStyle w:val="Emphasis"/>
          <w:rFonts w:eastAsia="Noto Sans Mono CJK SC" w:cs="Liberation Mono" w:ascii="Adwaita Sans" w:hAnsi="Adwaita Sans"/>
          <w:sz w:val="22"/>
          <w:szCs w:val="22"/>
        </w:rPr>
        <w:t>Don't make me think, revisited: A common sense approach to web usability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(3rd ed.). New Riders.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Nielsen, J., &amp; Budiu, R. (2013). </w:t>
      </w:r>
      <w:r>
        <w:rPr>
          <w:rStyle w:val="Emphasis"/>
          <w:rFonts w:eastAsia="Noto Sans Mono CJK SC" w:cs="Liberation Mono" w:ascii="Adwaita Sans" w:hAnsi="Adwaita Sans"/>
          <w:sz w:val="22"/>
          <w:szCs w:val="22"/>
        </w:rPr>
        <w:t>Mobile usability</w:t>
      </w:r>
      <w:r>
        <w:rPr>
          <w:rFonts w:eastAsia="Noto Sans Mono CJK SC" w:cs="Liberation Mono" w:ascii="Adwaita Sans" w:hAnsi="Adwaita Sans"/>
          <w:sz w:val="22"/>
          <w:szCs w:val="22"/>
        </w:rPr>
        <w:t>. New Riders.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Norman, D. A. (2013). </w:t>
      </w:r>
      <w:r>
        <w:rPr>
          <w:rStyle w:val="Emphasis"/>
          <w:rFonts w:eastAsia="Noto Sans Mono CJK SC" w:cs="Liberation Mono" w:ascii="Adwaita Sans" w:hAnsi="Adwaita Sans"/>
          <w:sz w:val="22"/>
          <w:szCs w:val="22"/>
        </w:rPr>
        <w:t>The design of everyday things: Revised and expanded edition</w:t>
      </w:r>
      <w:r>
        <w:rPr>
          <w:rFonts w:eastAsia="Noto Sans Mono CJK SC" w:cs="Liberation Mono" w:ascii="Adwaita Sans" w:hAnsi="Adwaita Sans"/>
          <w:sz w:val="22"/>
          <w:szCs w:val="22"/>
        </w:rPr>
        <w:t>. Basic Books.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World Wide Web Consortium. (2018). </w:t>
      </w:r>
      <w:r>
        <w:rPr>
          <w:rStyle w:val="Emphasis"/>
          <w:rFonts w:eastAsia="Noto Sans Mono CJK SC" w:cs="Liberation Mono" w:ascii="Adwaita Sans" w:hAnsi="Adwaita Sans"/>
          <w:sz w:val="22"/>
          <w:szCs w:val="22"/>
        </w:rPr>
        <w:t>Web Content Accessibility Guidelines (WCAG) 2.1</w:t>
      </w:r>
      <w:r>
        <w:rPr>
          <w:rFonts w:eastAsia="Noto Sans Mono CJK SC" w:cs="Liberation Mono" w:ascii="Adwaita Sans" w:hAnsi="Adwaita Sans"/>
          <w:sz w:val="22"/>
          <w:szCs w:val="22"/>
        </w:rPr>
        <w:t>. https://www.w3.org/TR/WCAG21/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dwaita Sans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0"/>
      <w:sz w:val="24"/>
      <w:szCs w:val="24"/>
      <w:lang w:val="es-CO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2352</TotalTime>
  <Application>LibreOffice/24.8.7.2$Linux_X86_64 LibreOffice_project/480$Build-2</Application>
  <AppVersion>15.0000</AppVersion>
  <Pages>13</Pages>
  <Words>1637</Words>
  <Characters>9976</Characters>
  <CharactersWithSpaces>11394</CharactersWithSpaces>
  <Paragraphs>246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es-CO</dc:language>
  <cp:lastModifiedBy/>
  <cp:lastPrinted>2025-07-14T06:47:15Z</cp:lastPrinted>
  <dcterms:modified xsi:type="dcterms:W3CDTF">2026-02-26T06:12:12Z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