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  <w:b/>
          <w:bCs/>
          <w:sz w:val="36"/>
          <w:szCs w:val="36"/>
        </w:rPr>
      </w:pPr>
      <w:r>
        <w:rPr>
          <w:rFonts w:ascii="Adwaita Sans" w:hAnsi="Adwaita Sans"/>
          <w:b/>
          <w:bCs/>
          <w:sz w:val="36"/>
          <w:szCs w:val="36"/>
        </w:rPr>
        <w:t>Establecer los componentes frontend de la aplicación we</w:t>
      </w:r>
      <w:r>
        <w:rPr>
          <w:rFonts w:ascii="Adwaita Sans" w:hAnsi="Adwaita Sans"/>
          <w:b/>
          <w:bCs/>
          <w:sz w:val="36"/>
          <w:szCs w:val="36"/>
        </w:rPr>
        <w:t>b</w:t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  <w:b/>
          <w:bCs/>
          <w:sz w:val="36"/>
          <w:szCs w:val="36"/>
        </w:rPr>
      </w:pPr>
      <w:r>
        <w:rPr>
          <w:rFonts w:ascii="Adwaita Sans" w:hAnsi="Adwaita Sans"/>
          <w:b/>
          <w:bCs/>
          <w:sz w:val="36"/>
          <w:szCs w:val="36"/>
        </w:rPr>
        <w:t xml:space="preserve"> </w:t>
      </w:r>
      <w:r>
        <w:rPr>
          <w:rFonts w:ascii="Adwaita Sans" w:hAnsi="Adwaita Sans"/>
          <w:b/>
          <w:bCs/>
          <w:sz w:val="36"/>
          <w:szCs w:val="36"/>
        </w:rPr>
        <w:t>GA6-220501096-AA</w:t>
      </w:r>
      <w:r>
        <w:rPr>
          <w:rFonts w:ascii="Adwaita Sans" w:hAnsi="Adwaita Sans"/>
          <w:b/>
          <w:bCs/>
          <w:sz w:val="36"/>
          <w:szCs w:val="36"/>
        </w:rPr>
        <w:t>4</w:t>
      </w:r>
      <w:r>
        <w:rPr>
          <w:rFonts w:ascii="Adwaita Sans" w:hAnsi="Adwaita Sans"/>
          <w:b/>
          <w:bCs/>
          <w:sz w:val="36"/>
          <w:szCs w:val="36"/>
        </w:rPr>
        <w:t>-EV0</w:t>
      </w:r>
      <w:r>
        <w:rPr>
          <w:rFonts w:ascii="Adwaita Sans" w:hAnsi="Adwaita Sans"/>
          <w:b/>
          <w:bCs/>
          <w:sz w:val="36"/>
          <w:szCs w:val="36"/>
        </w:rPr>
        <w:t>3</w:t>
      </w:r>
      <w:r>
        <w:rPr>
          <w:rFonts w:ascii="Adwaita Sans" w:hAnsi="Adwaita Sans"/>
          <w:b/>
          <w:bCs/>
          <w:sz w:val="36"/>
          <w:szCs w:val="36"/>
        </w:rPr>
        <w:t xml:space="preserve"> — Proyecto “Censo Rural”</w:t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2506345</wp:posOffset>
            </wp:positionH>
            <wp:positionV relativeFrom="paragraph">
              <wp:posOffset>118745</wp:posOffset>
            </wp:positionV>
            <wp:extent cx="1363980" cy="13373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bookmarkStart w:id="0" w:name="docs-internal-guid-255404e9-7fff-4a4b-60"/>
      <w:bookmarkEnd w:id="0"/>
      <w:r>
        <w:rPr>
          <w:rFonts w:ascii="Adwaita Sans" w:hAnsi="Adwaita Sans"/>
          <w:sz w:val="44"/>
          <w:szCs w:val="44"/>
        </w:rPr>
        <w:t>Isidro J Gallardo Navarro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Ficha:3070299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  <w:r>
        <w:rPr>
          <w:rFonts w:ascii="Adwaita Sans" w:hAnsi="Adwaita Sans"/>
          <w:sz w:val="44"/>
          <w:szCs w:val="44"/>
        </w:rPr>
        <w:t>2026</w:t>
      </w: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Tecnología en Análisis y Desarrollo de Software.</w:t>
      </w:r>
    </w:p>
    <w:p>
      <w:pPr>
        <w:pStyle w:val="Title"/>
        <w:rPr>
          <w:rFonts w:ascii="Adwaita Sans" w:hAnsi="Adwaita Sans"/>
        </w:rPr>
      </w:pPr>
      <w:bookmarkStart w:id="1" w:name="__DdeLink__312_1991315243"/>
      <w:bookmarkStart w:id="2" w:name="__DdeLink__308_1991315243"/>
      <w:bookmarkStart w:id="3" w:name="__DdeLink__484_3751743897"/>
      <w:r>
        <w:rPr>
          <w:rFonts w:eastAsia="Noto Sans Mono CJK SC" w:cs="Liberation Mono" w:ascii="Adwaita Sans" w:hAnsi="Adwaita Sans"/>
          <w:sz w:val="44"/>
          <w:szCs w:val="44"/>
        </w:rPr>
        <w:t>ADSO</w:t>
      </w:r>
      <w:bookmarkEnd w:id="1"/>
      <w:bookmarkEnd w:id="2"/>
      <w:bookmarkEnd w:id="3"/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Introducción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El sistema Censo Rural requiere una interfaz frontend que soporte la captura eficiente de datos en campo y la gestión segura de la información asociada a los hogares y territorios censados. La presente evidencia documenta la materialización del diseño frontend completo (HTML, CSS y JS), alineado con los lineamientos de la Guía de Aprendizaje 6, la lógica técnica y los criterios, priorizando accesibilidad, usabilidad y consistencia visual con los prototipos previamente validados.</w:t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Metodología Extreme Programming (XP)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Se adopta XP por su énfasis en entregas pequeñas y frecuentes, feedback continuo, diseño simple y calidad técnica, lo que permite desarrollar y probar componentes independientes (navbar, cards, formulario, lista de pasos) en iteraciones cortas, reduciendo riesgos y facilitando el mantenimiento. Estos principios —comunicación, simplicidad, feedback, coraje y respeto— sustentan la arquitectura basada en componentes y el testing continuo de módulos.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 xml:space="preserve">II. Sistema de diseño y estilos globales 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Objetivo: Unificar la identidad visual y garantizar legibilidad en entornos de campo (móviles Android y navegadores modernos).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Variables de raíz (:root)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--primary: #60a5fa (acciones principales)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--bg: #0b0f17 (fondo oscuro para legibilidad)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--surface: #0f172a (contenedores)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--radius: 12px (borde redondeado uniforme)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Recomendaciones: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Tipografía base ≥ 16 px y altura de línea ≥ 1.5 para lectura cómoda.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Mantener contraste adecuado (ver Sección IV). Para texto normal, ≥ 4.5:1; para texto grande y componentes/UI, ≥ 3:1 (WCAG 2.1, nivel AA). [bing.com],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Layout responsivo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CSS Grid como base estructural (cabecera, contenido principal, pie).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Media queries (punto de quiebre sugerido: min-width: 768 px) para reorganizar columnas y densidad de información.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Objetivos táctiles y espaciado adecuados para interacción móvil (ver Sección IV).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[Espacio para imagen: “Wireframe del layout en móvil y tablet/escritorio”]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III. Implementación de componentes frontend (Checklist #2)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Nota: Los siguientes componentes se implementan con HTML semántico, clases reutilizables y JS ligero. Los textos e indicadores visuales se alinean con los prototipos validados en AA4-EV02.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1. Módulo de captura (formulario)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Estructura semántica con campos obligatorios y ayudas contextuales: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Campos: Nombres, Apellidos, Tipo y Número de documento, Domicilio, Fecha de nacimiento, Sexo, Número celular, Dirección, Barrio, Email.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Cada control con su &lt;label&gt; explícita, texto de ayuda (.help) bajo el campo y mensaje de error cercano al control.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Agrupación por secciones (Identificación / Ubicación / Contacto) para reducir carga cognitiva.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[Espacio para imagen: “Vista del formulario con ayudas y validaciones”]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Esqueleto HTML abreviado (referencial):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HTMLShow more lines</w:t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2. Navegación y guía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Navbar: fija/pegajosa, con desenfoque (backdrop-filter) y fondo semitransparente sobre --bg. Estados hover/active y enfoque :focus-visible.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Steps (lista de pasos): “Planifica → Diseña → Implementa → Lanza”, usando &lt;ol&gt; con contadores CSS y círculos numerados para orientar el flujo.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[Espacio para imagen: “Navbar con ítem activo y lista de pasos”]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3. Visualización y cierre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Cards (tarjetas): resumen de censos o tipos de formularios; cada .card incluye título, breve descripción y acción (“Ver detalle”).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Footer: información institucional/legal y selector de Modo Oscuro (ver interactividad en Sección IV).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 xml:space="preserve">IV. Usabilidad, accesibilidad e interactividad </w:t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1. Accesibilidad (WCAG 2.1)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Contraste: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Texto normal ≥ 4.5:1; texto grande y componentes/gráficos ≥ 3:1 (nivel AA). Validar con herramientas como WebAIM Contrast Checker. [bing.com], [bing.com]</w:t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Tamaño de objetivos táctiles: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Áreas activas ≥ 48 × 48 dp (≈ 9 mm), incluso si el ícono es menor; separaciones suficientes para evitar toques accidentales (recomendación Android/Material). [bing.com], [bing.com]</w:t>
      </w:r>
    </w:p>
    <w:p>
      <w:pPr>
        <w:pStyle w:val="BodyText"/>
        <w:spacing w:before="240" w:after="120"/>
        <w:jc w:val="both"/>
        <w:rPr/>
      </w:pPr>
      <w:r>
        <w:rPr>
          <w:rFonts w:ascii="Adwaita Sans" w:hAnsi="Adwaita Sans"/>
          <w:b/>
          <w:bCs/>
          <w:sz w:val="22"/>
          <w:szCs w:val="22"/>
        </w:rPr>
        <w:t>Navegación y foco: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Orden lógico, foco visible, roles ARIA cuando correspondan y uso de HTML semántico para mejorar lectura por tecnologías de apoyo. (Buenas prácticas de accesibilidad general). [bing.com]</w:t>
      </w:r>
    </w:p>
    <w:p>
      <w:pPr>
        <w:pStyle w:val="BodyText"/>
        <w:spacing w:before="240" w:after="120"/>
        <w:jc w:val="both"/>
        <w:rPr/>
      </w:pPr>
      <w:r>
        <w:rPr>
          <w:rFonts w:ascii="Adwaita Sans" w:hAnsi="Adwaita Sans"/>
          <w:b/>
          <w:bCs/>
          <w:sz w:val="22"/>
          <w:szCs w:val="22"/>
        </w:rPr>
        <w:t>2. Interactividad con JavaScript</w:t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Validación en tiempo real: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Escuchar eventos input/change para formato de email, teléfono, campos requeridos; mostrar mensajes inmediatos (aria-live) y estilo de error en el control.</w:t>
      </w:r>
    </w:p>
    <w:p>
      <w:pPr>
        <w:pStyle w:val="BodyText"/>
        <w:spacing w:before="240" w:after="120"/>
        <w:jc w:val="both"/>
        <w:rPr>
          <w:rFonts w:ascii="Adwaita Sans" w:hAnsi="Adwaita Sans"/>
          <w:b/>
          <w:bCs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/>
      </w:pPr>
      <w:r>
        <w:rPr>
          <w:rFonts w:ascii="Adwaita Sans" w:hAnsi="Adwaita Sans"/>
          <w:b/>
          <w:bCs/>
          <w:sz w:val="22"/>
          <w:szCs w:val="22"/>
        </w:rPr>
        <w:t>Envío del formulario: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Prevent default, validaciones finales, feedback de éxito/error no intrusivo (toast / barra de estado).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Modo Oscuro (selector en Footer):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Alternar atributo en &lt;html&gt; (p. ej., data-theme="dark"), persistir con localStorage, respetar prefers-color-scheme.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Simulación Offline-First: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Simular indisponibilidad de red y cola de sincronización diferida; almacenar temporalmente en localStorage o stub de IndexedDB para la evidencia.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V. Conclusiones y entregables</w:t>
      </w:r>
    </w:p>
    <w:p>
      <w:pPr>
        <w:pStyle w:val="BodyText"/>
        <w:spacing w:before="240" w:after="120"/>
        <w:jc w:val="both"/>
        <w:rPr>
          <w:b/>
          <w:bCs/>
        </w:rPr>
      </w:pPr>
      <w:r>
        <w:rPr>
          <w:rFonts w:ascii="Adwaita Sans" w:hAnsi="Adwaita Sans"/>
          <w:b/>
          <w:bCs/>
          <w:sz w:val="22"/>
          <w:szCs w:val="22"/>
        </w:rPr>
        <w:t>Conclusiones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La integración de HTML semántico, CSS con variables de sistema y JS ligero materializa los mockups previos y satisface los requerimientos del proyecto Censo Rural. La arquitectura por componentes reutilizables (navbar, cards, formulario, pasos) facilita iteraciones cortas, pruebas continuas y alineación visual en todos los módulos, en coherencia con XP y las pautas de accesibilidad exigidas (contraste, foco, objetivos táctiles). [bing.com], [bing.com],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Documento técnico explicativo (este documento con capturas anexadas).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Código fuente: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index.html (estructura semántica, secciones y componentes)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style.css (variables :root, layout con CSS Grid, clases .card, .steps, navbar con backdrop-filter)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script.js (validación en tiempo real, toasts, modo oscuro, simulación offline-first)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/>
      </w:r>
    </w:p>
    <w:p>
      <w:pPr>
        <w:pStyle w:val="BodyText"/>
        <w:spacing w:before="240" w:after="120"/>
        <w:jc w:val="center"/>
        <w:rPr>
          <w:b/>
          <w:bCs/>
          <w:i/>
          <w:i/>
          <w:iCs/>
        </w:rPr>
      </w:pPr>
      <w:r>
        <w:rPr>
          <w:rFonts w:ascii="Adwaita Sans" w:hAnsi="Adwaita Sans"/>
          <w:b/>
          <w:bCs/>
          <w:i/>
          <w:iCs/>
          <w:sz w:val="22"/>
          <w:szCs w:val="22"/>
        </w:rPr>
        <w:t>Referencias (formato APA 7.ª ed.)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Agile Alliance. (s. f.). What is Extreme Programming (XP)? https://www.agilealliance.org/glossary/xp/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Android Accessibility Help. (s. f.). Touch target size. https://support.google.com/accessibility/android/answer/7101858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Material Design. (s. f.). Touch target (MDC Web). https://m2.material.io/develop/web/supporting/touch-target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WebAIM. (s. f.). Contrast Checker. https://webaim.org/resources/contrastchecker/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W3C/WAI. (2018). Understanding Success Criterion 1.4.3: Contrast (Minimum). https://www.w3.org/WAI/WCAG21/Understanding/contrast-minimum.html [bing.com]</w:t>
      </w:r>
    </w:p>
    <w:p>
      <w:pPr>
        <w:pStyle w:val="BodyText"/>
        <w:spacing w:before="240" w:after="12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Material Design 3. (s. f.). Accessibility — Designing (Structure). https://m3.material.io/foundations/designing/structure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2354</TotalTime>
  <Application>LibreOffice/24.8.7.2$Linux_X86_64 LibreOffice_project/480$Build-2</Application>
  <AppVersion>15.0000</AppVersion>
  <Pages>7</Pages>
  <Words>850</Words>
  <Characters>5695</Characters>
  <CharactersWithSpaces>6474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cp:lastPrinted>2025-07-14T06:47:15Z</cp:lastPrinted>
  <dcterms:modified xsi:type="dcterms:W3CDTF">2026-02-26T07:21:55Z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