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36"/>
          <w:szCs w:val="36"/>
        </w:rPr>
      </w:pPr>
      <w:r>
        <w:rPr>
          <w:rFonts w:eastAsia="Noto Sans Mono CJK SC" w:cs="Liberation Mono" w:ascii="Adwaita Sans" w:hAnsi="Adwaita Sans"/>
          <w:b/>
          <w:bCs/>
          <w:sz w:val="36"/>
          <w:szCs w:val="36"/>
        </w:rPr>
        <w:t xml:space="preserve">Evidencia GA6-220501096-AA3-EV02: Creación de Mockups de Navegación </w:t>
      </w:r>
      <w:r>
        <w:rPr>
          <w:rStyle w:val="Strong"/>
          <w:rFonts w:eastAsia="Noto Sans Mono CJK SC" w:cs="Liberation Mono" w:ascii="Adwaita Sans" w:hAnsi="Adwaita Sans"/>
          <w:sz w:val="36"/>
          <w:szCs w:val="36"/>
        </w:rPr>
        <w:t>Proyecto: Censo Rural – Diseño de Interfaces de Usuario</w:t>
      </w:r>
      <w:bookmarkStart w:id="0" w:name="__DdeLink__484_3751743897"/>
    </w:p>
    <w:p>
      <w:pPr>
        <w:pStyle w:val="PreformattedText"/>
        <w:bidi w:val="0"/>
        <w:spacing w:before="0" w:after="0"/>
        <w:jc w:val="start"/>
        <w:rPr>
          <w:rFonts w:ascii="Adwaita Sans" w:hAnsi="Adwaita Sans"/>
          <w:sz w:val="36"/>
          <w:szCs w:val="36"/>
        </w:rPr>
      </w:pPr>
      <w:r>
        <w:rPr>
          <w:rFonts w:ascii="Adwaita Sans" w:hAnsi="Adwaita Sans"/>
          <w:sz w:val="36"/>
          <w:szCs w:val="36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2506345</wp:posOffset>
            </wp:positionH>
            <wp:positionV relativeFrom="paragraph">
              <wp:posOffset>118745</wp:posOffset>
            </wp:positionV>
            <wp:extent cx="1363980" cy="13373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bookmarkStart w:id="1" w:name="docs-internal-guid-255404e9-7fff-4a4b-60"/>
      <w:bookmarkEnd w:id="1"/>
      <w:r>
        <w:rPr>
          <w:rFonts w:ascii="Adwaita Sans" w:hAnsi="Adwaita Sans"/>
          <w:sz w:val="44"/>
          <w:szCs w:val="44"/>
        </w:rPr>
        <w:t>Isidro J. Gallardo Navarro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Ficha:3070299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  <w:r>
        <w:rPr>
          <w:rFonts w:ascii="Adwaita Sans" w:hAnsi="Adwaita Sans"/>
          <w:sz w:val="44"/>
          <w:szCs w:val="44"/>
        </w:rPr>
        <w:t>2026</w:t>
      </w: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Tecnología en Análisis y Desarrollo de Software.</w:t>
      </w:r>
    </w:p>
    <w:p>
      <w:pPr>
        <w:pStyle w:val="Title"/>
        <w:rPr>
          <w:rFonts w:ascii="Adwaita Sans" w:hAnsi="Adwaita Sans"/>
        </w:rPr>
      </w:pPr>
      <w:bookmarkStart w:id="2" w:name="__DdeLink__308_1991315243"/>
      <w:bookmarkStart w:id="3" w:name="__DdeLink__312_1991315243"/>
      <w:r>
        <w:rPr>
          <w:rFonts w:eastAsia="Noto Sans Mono CJK SC" w:cs="Liberation Mono" w:ascii="Adwaita Sans" w:hAnsi="Adwaita Sans"/>
          <w:sz w:val="44"/>
          <w:szCs w:val="44"/>
        </w:rPr>
        <w:t>ADSO</w:t>
      </w:r>
      <w:bookmarkEnd w:id="0"/>
      <w:bookmarkEnd w:id="2"/>
      <w:bookmarkEnd w:id="3"/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Heading1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 Introducción y Contextualización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1.1 Propósito de los Mockups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Los mockups o prototipos de baja fidelidad son representaciones visuales estáticas que permiten visualizar la disposición de los componentes de la interfaz de usuario y el flujo de navegación antes de la codificación final. Su propósito es validar con los stakeholders que el diseño cumple con los requerimientos funcionales, detectar problemas de usabilidad tempranamente y servir como guía definitiva para el equipo de desarrollo frontend.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En el contexto de metodologías ágiles como XP (Extreme Programming), los mockups facilitan la comunicación con el cliente y permiten iteraciones rápidas del diseño sin incurrir en costos elevados de recodificación.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1.2 Contexto del Proyecto "Censo Rural"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proyecto "Censo Rural" es un sistema de información diseñado para la recolección, gestión y análisis de datos personales de habitantes en zonas rurales apartadas de Colombia. El contexto operativo presenta desafíos únicos que impactan directamente el diseño de la interfaz: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Desafíos de usabilidad: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Usuarios con nivel educativo básico: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Encuestadores pueden tener formación técnica limitada, requiriendo interfaces intuitivas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Conectividad intermitente: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La aplicación debe funcionar offline-first con sincronización posterior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Dispositivos limitados: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Tablets Android de gama media con pantallas de 7-10 pulgadas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Condiciones ambientales adversas: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Uso en exteriores con luz solar directa, requiere alto contraste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Importancia de la interfaz amigable: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Una interfaz bien diseñada para el "Censo Rural" garantiza: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Reducción de errores de captura de datos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Mayor productividad de encuestadores (más registros por día)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Menor curva de aprendizaje y capacitación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Satisfacción del usuario final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Calidad superior en los datos recolectados 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1.3 Objetivo de la Evidencia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Desarrollar el diseño visual completo de los elementos principales del software "Censo Rural", garantizando que la navegación sea intuitiva, el flujo de trabajo sea eficiente y el diseño cumpla rigurosamente con los requerimientos funcionales especificados. Los mockups deben representar fielmente: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Página de inicio (Home) con información del proyecto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Formulario de captura de datos censales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Flujo de navegación entre pantallas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Estados de interacción (éxito, error, carga)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Adaptabilidad responsive (móvil y escritorio) 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 Definición de Componentes Base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Siguiendo patrones de diseño reutilizables y estándares de la industria, los mockups integran los siguientes componentes estructurales: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2.1 Barra de Navegación (Navbar)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Proporcionar acceso rápido a las secciones principales del sistema.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Elementos incluidos: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Logotipo del proyecto: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Identificación visual en esquina superior izquierda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Enlaces de navegación: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Inicio: Retorna a la página principal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Formulario: Acceso directo a captura de datos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Ayuda: Guías y documentación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Perfil: Información del encuestador conectado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Indicador de conectividad: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Ícono que muestra estado online/offline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Menú hamburguesa: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Versión móvil colapsable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técnicas: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Altura: 60px (escritorio), 56px (móvil)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fondo: #2563eb (azul primario)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texto: #ffffff (blanco)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Posición: Fixed top (permanece visible al hacer scroll)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de Navbar - Versión Escritorio]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de Navbar - Versión Móvil]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2.2 Pie de Página (Footer)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Proporcionar información institucional, enlaces legales y opciones de configuración.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Secciones incluidas: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1 - Recursos: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Documentación técnica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Preguntas frecuentes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Contacto soporte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2 - Legal: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Términos y condiciones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Política de privacidad (Ley 1581/2012)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Aviso de tratamiento de datos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3 - Configuración: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Modo oscuro/claro (toggle switch)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Idioma (Español/Inglés)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Tamaño de fuente (accesibilidad)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Columna 4 - Suscripción: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Campo de email para boletín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Botón "Suscribirse"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técnicas: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Altura: ~200px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fondo: #1e293b (gris oscuro)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Color de texto: #cbd5e1 (gris claro)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Layout: CSS Grid 4 columnas (escritorio), 1 columna (móvil)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de Footer Completo]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2.3 Modelos de Tarjetas (Cards)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Visualización resumida de información en la página principal.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Estructura de cada Card: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Imagen superior: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Ilustración representativa (200x150px)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Título: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Encabezado descriptivo (H3, 18px, font-weight: 600)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Descripción: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Texto breve explicativo (2-3 líneas)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Botón de acción: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"Más información" o "Iniciar"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Cards incluidas en Home: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 1: Recolección de Datos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Descripción: Sistema de captura offline para encuestadores en campo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Ícono: Formulario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 2: Análisis en Tiempo Real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Descripción: Dashboards con estadísticas demográficas actualizadas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Ícono: Gráficos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Card 3: Seguridad de Datos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Descripción: Cumplimiento Ley 1581/2012, cifrado y trazabilidad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Ícono: Candado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técnicas: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Ancho: 300px (fijo), altura: auto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Borde: 1px solid #e5e7eb, border-radius: 8px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Sombra: box-shadow: 0 4px 6px rgba(0,0,0,0.1)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Hover: Elevación (translateY: -4px)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Grid de Cards en Página Home]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2.4 Lista Ordenada de Pasos (Process Steps)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Propósito: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Representar visualmente las etapas del proceso de implementación del censo.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Pasos incluidos: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1: Planifica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Definición de zonas geográficas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Asignación de encuestadores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Configuración de formularios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2: Diseña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Personalización de cuestionarios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Configuración de validaciones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Definición de flujos de trabajo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3: Implementa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Capacitación de encuestadores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Distribución de dispositivos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Captura de datos en campo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Paso 4: Lanza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Sincronización de datos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Generación de reportes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Análisis de resultados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visuales: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Diseño horizontal (escritorio), vertical (móvil)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Números en círculos: 60px diámetro, fondo degradado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Línea conectora entre pasos: 2px dashed #cbd5e1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Animación: Progreso activo resaltado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Visualización de Process Steps]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 Diseño del Formulario de Captura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formulario de captura de datos censales es la funcionalidad crítica del sistema. Su diseño debe minimizar errores de entrada y maximizar la eficiencia de captura.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3.1 Estructura del Formulario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formulario se organiza en secciones lógicas colapsables para facilitar la navegación: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1: Identificación Oficial</w:t>
      </w:r>
    </w:p>
    <w:p>
      <w:pPr>
        <w:pStyle w:val="Body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Identificación del Formulario]</w:t>
      </w:r>
    </w:p>
    <w:p>
      <w:pPr>
        <w:pStyle w:val="Body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2: Datos Personales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Datos Personales del Formulario]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3: Ubicación y Contacto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Ubicación del Formulario]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Sección 4: Información Demográfica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Sección Información Demográfica]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3.2 Controles de Acción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Botones principales: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de botones: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Enviar: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Verde (#10b981), texto blanco, ancho 100%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Guardar: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Azul (#3b82f6), texto blanco, ancho 100%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Limpiar: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Gris (#6b7280), texto blanco, ancho 100%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Todos: height 48px, border-radius 6px, margin 8px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Botones de Acción del Formulario]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3.3 Validaciones y Feedback Visual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Indicadores de campo válido/inválido: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/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Estados del formulario: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 Cargando: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 Éxito: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Style w:val="Strong"/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Style w:val="Strong"/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Estado Error: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Estados del Formulario - Éxito/Error/Carga]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 Flujo de Navegación e Interactividad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4.1 Mapa de Navegación</w:t>
      </w:r>
    </w:p>
    <w:p>
      <w:pPr>
        <w:pStyle w:val="PreformattedText"/>
        <w:spacing w:lineRule="auto" w:line="360"/>
        <w:jc w:val="both"/>
        <w:rPr>
          <w:rFonts w:ascii="Adwaita Sans" w:hAnsi="Adwaita Sans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 xml:space="preserve">                  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Diagrama de Flujo de Navegación Completo]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4.2 Página de Inicio (Home)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Estructura visual:</w:t>
      </w:r>
    </w:p>
    <w:p>
      <w:pPr>
        <w:pStyle w:val="PreformattedText"/>
        <w:spacing w:lineRule="auto" w:line="360"/>
        <w:jc w:val="both"/>
        <w:rPr>
          <w:rStyle w:val="SourceText"/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Mockup Página Home Completa]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4.3 Transiciones y Animaciones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Especificaciones de UX: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Clic en "Iniciar Censo":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Transición: Fade out (300ms) → Slide in formulario (400ms)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Efecto: Smooth scroll hacia formulario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Envío de formulario: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Animación: Botón se transforma en spinner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Duración: 2-5 segundos (según conectividad)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Feedback: Barra de progreso visible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Navegación entre secciones: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Acordeón: Collapse/expand con easing cubic-bezier 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36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Indicador de progreso: Barra superior muestra % completado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Wireframe de Transiciones]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 Herramientas y Estándares de Diseño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5.1 Herramienta de Modelado: Draw.io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Justificación de selección: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Draw.io (diagrams.net) fue seleccionado por: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Gratuito y de código abierto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Soporte de plantillas UI/UX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específicas para mockups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Exportación múltiple: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PNG, SVG, PDF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Colaboración: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Integración con Google Drive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Biblioteca de componentes: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Material Design, Bootstrap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Proceso de trabajo: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Creación de biblioteca de componentes reutilizables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Diseño de pantallas individuales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Vinculación de navegación mediante enlaces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Exportación en alta resolución (300 DPI) 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5.2 Diseño Responsivo</w:t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Breakpoints definidos:</w:t>
      </w:r>
    </w:p>
    <w:tbl>
      <w:tblPr>
        <w:tblW w:w="611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53"/>
        <w:gridCol w:w="1266"/>
        <w:gridCol w:w="3600"/>
      </w:tblGrid>
      <w:tr>
        <w:trPr>
          <w:tblHeader w:val="true"/>
        </w:trPr>
        <w:tc>
          <w:tcPr>
            <w:tcW w:w="125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Dispositivo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Ancho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Layout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Móvil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320-767px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 columna, menú hamburguesa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Tablet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768-1023px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 columnas, menú expandido</w:t>
            </w:r>
          </w:p>
        </w:tc>
      </w:tr>
      <w:tr>
        <w:trPr/>
        <w:tc>
          <w:tcPr>
            <w:tcW w:w="125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Escritorio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1024px+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3-4 columnas, navegación completa</w:t>
            </w:r>
          </w:p>
        </w:tc>
      </w:tr>
    </w:tbl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Adaptaciones móviles: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Navbar colapsa en menú hamburguesa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Cards en layout vertical (1 columna)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Formulario: inputs al 100% del ancho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Botones: height aumenta a 56px (táctil)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Footer: columnas apiladas verticalmente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Comparativa Responsiva - Móvil vs Escritorio]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5.3 Paleta de Colores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Colores primarios: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Azul primario: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#2563eb (botones, navbar)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Verde éxito: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#10b981 (confirmaciones, válido)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Rojo error: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#ef4444 (alertas, inválido)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Gris neutro: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#6b7280 (texto secundario)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Colores secundarios: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Azul claro: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#dbeafe (fondos, highlights)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Gris claro: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#f3f4f6 (backgrounds)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Gris oscuro: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#1f2937 (texto principal, footer)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Contraste y accesibilidad: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Ratio mínimo: 4.5:1 (WCAG AA)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Texto sobre azul primario: #ffffff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Texto sobre fondos claros: #1f2937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[ESPACIO PARA IMAGEN: Paleta de Colores Completa]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5.4 Tipografía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Fuentes seleccionadas: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Primaria: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Inter (sans-serif, legible en pantallas)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Secundaria: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Roboto (formularios, datos)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Monospace: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Fira Code (códigos, IDs)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Jerarquía tipográfica: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H1: 32px, font-weight: 700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H2: 24px, font-weight: 600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H3: 18px, font-weight: 600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Body: 16px, font-weight: 400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Small: 14px, font-weight: 400 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6. Conclusiones y Entregables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6.1 Conclusiones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Los mockups desarrollados para el proyecto "Censo Rural" materializan exitosamente los requerimientos funcionales del cliente y proporcionan una guía visual clara para la fase de desarrollo frontend bajo metodología XP. Los diseños garantizan: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Usabilidad optimizada: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Interfaz intuitiva para encuestadores con formación técnica básica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Funcionalidad offline-first: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Estados visuales claros para sincronización diferida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Cumplimiento normativo: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Checkbox de consentimiento informado visible (Ley 1581/2012)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Responsive design: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Adaptación perfecta a tablets Android y laptops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Accesibilidad: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Contraste WCAG AA, tamaños táctiles adecuados (48px mínimo) 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El diseño prioriza la eficiencia de captura, minimiza errores de entrada mediante validaciones visuales y proporciona feedback inmediato al usuario, cumpliendo así con los objetivos del sistema de censo en zonas rurales con conectividad limitada.</w:t>
      </w:r>
    </w:p>
    <w:p>
      <w:pPr>
        <w:pStyle w:val="Heading3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>6.2 Entregables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Carpeta comprimida (censo_rural_mockups.zip) contiene: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Documento técnico (PDF):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Este documento con mockups integrados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Especificaciones técnicas detalladas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Guía de implementación para desarrolladores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Archivos fuente: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censo_rural_mockups.drawio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(archivo editable)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componentes_reutilizables.drawio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(biblioteca)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Exportaciones visuales: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/mockups/home_desktop.png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(1920x1080)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/mockups/home_mobile.png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(375x812)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/mockups/formulario_completo.png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/mockups/estados_formulario.png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/mockups/navegacion_flow.png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709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trong"/>
          <w:rFonts w:eastAsia="Noto Sans Mono CJK SC" w:cs="Liberation Mono" w:ascii="Adwaita Sans" w:hAnsi="Adwaita Sans"/>
          <w:sz w:val="22"/>
          <w:szCs w:val="22"/>
        </w:rPr>
        <w:t>Guía de estilo:</w:t>
      </w:r>
    </w:p>
    <w:p>
      <w:pPr>
        <w:pStyle w:val="BodyText"/>
        <w:numPr>
          <w:ilvl w:val="1"/>
          <w:numId w:val="32"/>
        </w:numPr>
        <w:tabs>
          <w:tab w:val="clear" w:pos="709"/>
          <w:tab w:val="left" w:pos="0" w:leader="none"/>
        </w:tabs>
        <w:spacing w:lineRule="auto" w:line="360"/>
        <w:ind w:hanging="283" w:start="1418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Style w:val="SourceText"/>
          <w:rFonts w:ascii="Adwaita Sans" w:hAnsi="Adwaita Sans"/>
          <w:sz w:val="22"/>
          <w:szCs w:val="22"/>
        </w:rPr>
        <w:t>style_guide.pdf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(paleta, tipografía, componentes) </w:t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BodyText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</w:r>
    </w:p>
    <w:p>
      <w:pPr>
        <w:pStyle w:val="Heading2"/>
        <w:spacing w:lineRule="auto" w:line="360" w:before="0" w:after="283"/>
        <w:jc w:val="center"/>
        <w:rPr/>
      </w:pPr>
      <w:r>
        <w:rPr>
          <w:rFonts w:eastAsia="Noto Sans Mono CJK SC" w:cs="Liberation Mono" w:ascii="Adwaita Sans" w:hAnsi="Adwaita Sans"/>
          <w:sz w:val="22"/>
          <w:szCs w:val="22"/>
        </w:rPr>
        <w:t>Referencias Bibliográficas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Cooper, A., Reimann, R., &amp; Cronin, D. (2014).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About face: The essentials of interaction design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(4th ed.). Wiley.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Garrett, J. J. (2010).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The elements of user experience: User-centered design for the web and beyond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(2nd ed.). New Riders.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Krug, S. (2014).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Don't make me think, revisited: A common sense approach to web usability</w:t>
      </w:r>
      <w:r>
        <w:rPr>
          <w:rFonts w:eastAsia="Noto Sans Mono CJK SC" w:cs="Liberation Mono" w:ascii="Adwaita Sans" w:hAnsi="Adwaita Sans"/>
          <w:sz w:val="22"/>
          <w:szCs w:val="22"/>
        </w:rPr>
        <w:t xml:space="preserve"> (3rd ed.). New Riders.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Nielsen, J., &amp; Budiu, R. (2013).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Mobile usability</w:t>
      </w:r>
      <w:r>
        <w:rPr>
          <w:rFonts w:eastAsia="Noto Sans Mono CJK SC" w:cs="Liberation Mono" w:ascii="Adwaita Sans" w:hAnsi="Adwaita Sans"/>
          <w:sz w:val="22"/>
          <w:szCs w:val="22"/>
        </w:rPr>
        <w:t>. New Riders.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Norman, D. A. (2013).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The design of everyday things: Revised and expanded edition</w:t>
      </w:r>
      <w:r>
        <w:rPr>
          <w:rFonts w:eastAsia="Noto Sans Mono CJK SC" w:cs="Liberation Mono" w:ascii="Adwaita Sans" w:hAnsi="Adwaita Sans"/>
          <w:sz w:val="22"/>
          <w:szCs w:val="22"/>
        </w:rPr>
        <w:t>. Basic Books.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eastAsia="Noto Sans Mono CJK SC" w:cs="Liberation Mono" w:ascii="Adwaita Sans" w:hAnsi="Adwaita Sans"/>
          <w:sz w:val="22"/>
          <w:szCs w:val="22"/>
        </w:rPr>
        <w:t xml:space="preserve">World Wide Web Consortium. (2018). </w:t>
      </w:r>
      <w:r>
        <w:rPr>
          <w:rStyle w:val="Emphasis"/>
          <w:rFonts w:eastAsia="Noto Sans Mono CJK SC" w:cs="Liberation Mono" w:ascii="Adwaita Sans" w:hAnsi="Adwaita Sans"/>
          <w:sz w:val="22"/>
          <w:szCs w:val="22"/>
        </w:rPr>
        <w:t>Web Content Accessibility Guidelines (WCAG) 2.1</w:t>
      </w:r>
      <w:r>
        <w:rPr>
          <w:rFonts w:eastAsia="Noto Sans Mono CJK SC" w:cs="Liberation Mono" w:ascii="Adwaita Sans" w:hAnsi="Adwaita Sans"/>
          <w:sz w:val="22"/>
          <w:szCs w:val="22"/>
        </w:rPr>
        <w:t>. https://www.w3.org/TR/WCAG21/</w:t>
      </w:r>
    </w:p>
    <w:p>
      <w:pPr>
        <w:pStyle w:val="BodyText"/>
        <w:spacing w:lineRule="auto" w:line="360"/>
        <w:jc w:val="both"/>
        <w:rPr>
          <w:rFonts w:ascii="Adwaita Sans" w:hAnsi="Adwaita Sans" w:eastAsia="Noto Sans Mono CJK SC" w:cs="Liberation Mono"/>
          <w:sz w:val="22"/>
          <w:szCs w:val="22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dwaita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2345</TotalTime>
  <Application>LibreOffice/25.8.3.2$Linux_X86_64 LibreOffice_project/580$Build-2</Application>
  <AppVersion>15.0000</AppVersion>
  <Pages>13</Pages>
  <Words>1716</Words>
  <Characters>10660</Characters>
  <CharactersWithSpaces>12133</CharactersWithSpaces>
  <Paragraphs>266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cp:lastPrinted>2025-07-14T06:47:15Z</cp:lastPrinted>
  <dcterms:modified xsi:type="dcterms:W3CDTF">2026-02-22T16:40:22Z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