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start"/>
        <w:rPr>
          <w:rFonts w:ascii="Adwaita Sans" w:hAnsi="Adwaita Sans"/>
        </w:rPr>
      </w:pPr>
      <w:r>
        <w:rPr>
          <w:rFonts w:ascii="Adwaita Sans" w:hAnsi="Adwaita Sans"/>
        </w:rPr>
      </w:r>
    </w:p>
    <w:p>
      <w:pPr>
        <w:pStyle w:val="BodyText"/>
        <w:spacing w:before="240" w:after="120"/>
        <w:jc w:val="center"/>
        <w:rPr>
          <w:rFonts w:ascii="Adwaita Sans" w:hAnsi="Adwaita Sans"/>
          <w:b/>
          <w:bCs/>
          <w:sz w:val="44"/>
          <w:szCs w:val="44"/>
        </w:rPr>
      </w:pPr>
      <w:r>
        <w:rPr>
          <w:rFonts w:ascii="Adwaita Sans" w:hAnsi="Adwaita Sans"/>
          <w:b/>
          <w:bCs/>
          <w:sz w:val="44"/>
          <w:szCs w:val="44"/>
        </w:rPr>
        <w:t xml:space="preserve"> </w:t>
      </w:r>
      <w:r>
        <w:rPr>
          <w:rFonts w:ascii="Adwaita Sans" w:hAnsi="Adwaita Sans"/>
          <w:b/>
          <w:bCs/>
          <w:sz w:val="44"/>
          <w:szCs w:val="44"/>
        </w:rPr>
        <w:t>PROPUESTA DE INVESTIGACIÓN FORMATIVA</w:t>
      </w:r>
    </w:p>
    <w:p>
      <w:pPr>
        <w:pStyle w:val="BodyText"/>
        <w:spacing w:before="240" w:after="120"/>
        <w:jc w:val="center"/>
        <w:rPr>
          <w:rFonts w:ascii="Adwaita Sans" w:hAnsi="Adwaita Sans"/>
          <w:b/>
          <w:bCs/>
          <w:sz w:val="44"/>
          <w:szCs w:val="44"/>
        </w:rPr>
      </w:pPr>
      <w:r>
        <w:rPr>
          <w:rFonts w:ascii="Adwaita Sans" w:hAnsi="Adwaita Sans"/>
          <w:b/>
          <w:bCs/>
          <w:sz w:val="44"/>
          <w:szCs w:val="44"/>
        </w:rPr>
        <w:t>GA5-240201064-AA2-EV01</w:t>
      </w:r>
    </w:p>
    <w:p>
      <w:pPr>
        <w:pStyle w:val="BodyText"/>
        <w:spacing w:before="240" w:after="120"/>
        <w:jc w:val="center"/>
        <w:rPr>
          <w:rFonts w:ascii="Adwaita Sans" w:hAnsi="Adwaita Sans"/>
          <w:b/>
          <w:bCs/>
          <w:sz w:val="36"/>
          <w:szCs w:val="36"/>
        </w:rPr>
      </w:pPr>
      <w:r>
        <w:rPr>
          <w:rFonts w:ascii="Adwaita Sans" w:hAnsi="Adwaita Sans"/>
          <w:b/>
          <w:bCs/>
          <w:sz w:val="36"/>
          <w:szCs w:val="36"/>
        </w:rPr>
        <w:t xml:space="preserve">“ </w:t>
      </w:r>
      <w:r>
        <w:rPr>
          <w:rFonts w:ascii="Adwaita Sans" w:hAnsi="Adwaita Sans"/>
          <w:b/>
          <w:bCs/>
          <w:sz w:val="36"/>
          <w:szCs w:val="36"/>
        </w:rPr>
        <w:t>PROYECTO CENSO RURAL”</w:t>
      </w:r>
      <w:bookmarkStart w:id="0" w:name="__DdeLink__484_3751743897"/>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drawing>
          <wp:anchor behindDoc="0" distT="0" distB="0" distL="0" distR="0" simplePos="0" locked="0" layoutInCell="0" allowOverlap="1" relativeHeight="2">
            <wp:simplePos x="0" y="0"/>
            <wp:positionH relativeFrom="column">
              <wp:posOffset>2506345</wp:posOffset>
            </wp:positionH>
            <wp:positionV relativeFrom="paragraph">
              <wp:posOffset>118745</wp:posOffset>
            </wp:positionV>
            <wp:extent cx="1363980" cy="133731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363980" cy="1337310"/>
                    </a:xfrm>
                    <a:prstGeom prst="rect">
                      <a:avLst/>
                    </a:prstGeom>
                    <a:noFill/>
                  </pic:spPr>
                </pic:pic>
              </a:graphicData>
            </a:graphic>
          </wp:anchor>
        </w:drawing>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center"/>
        <w:rPr>
          <w:rFonts w:ascii="Adwaita Sans" w:hAnsi="Adwaita Sans"/>
        </w:rPr>
      </w:pPr>
      <w:r>
        <w:rPr>
          <w:rFonts w:ascii="Adwaita Sans" w:hAnsi="Adwaita Sans"/>
        </w:rPr>
      </w:r>
    </w:p>
    <w:p>
      <w:pPr>
        <w:pStyle w:val="Title"/>
        <w:rPr>
          <w:rFonts w:ascii="Adwaita Sans" w:hAnsi="Adwaita Sans"/>
        </w:rPr>
      </w:pPr>
      <w:bookmarkStart w:id="1" w:name="docs-internal-guid-255404e9-7fff-4a4b-60"/>
      <w:bookmarkEnd w:id="1"/>
      <w:r>
        <w:rPr>
          <w:rFonts w:ascii="Adwaita Sans" w:hAnsi="Adwaita Sans"/>
          <w:sz w:val="44"/>
          <w:szCs w:val="44"/>
        </w:rPr>
        <w:t>Isidro J Gallardo Navarro</w:t>
      </w:r>
    </w:p>
    <w:p>
      <w:pPr>
        <w:pStyle w:val="Title"/>
        <w:rPr>
          <w:rFonts w:ascii="Adwaita Sans" w:hAnsi="Adwaita Sans"/>
        </w:rPr>
      </w:pPr>
      <w:r>
        <w:rPr>
          <w:rFonts w:ascii="Adwaita Sans" w:hAnsi="Adwaita Sans"/>
          <w:sz w:val="44"/>
          <w:szCs w:val="44"/>
        </w:rPr>
        <w:t> </w:t>
      </w:r>
    </w:p>
    <w:p>
      <w:pPr>
        <w:pStyle w:val="Title"/>
        <w:rPr>
          <w:rFonts w:ascii="Adwaita Sans" w:hAnsi="Adwaita Sans"/>
        </w:rPr>
      </w:pPr>
      <w:r>
        <w:rPr>
          <w:rFonts w:ascii="Adwaita Sans" w:hAnsi="Adwaita Sans"/>
          <w:sz w:val="44"/>
          <w:szCs w:val="44"/>
        </w:rPr>
        <w:t>Ficha:3070299</w:t>
      </w:r>
    </w:p>
    <w:p>
      <w:pPr>
        <w:pStyle w:val="Title"/>
        <w:rPr>
          <w:rFonts w:ascii="Adwaita Sans" w:hAnsi="Adwaita Sans"/>
        </w:rPr>
      </w:pPr>
      <w:r>
        <w:rPr>
          <w:rFonts w:ascii="Adwaita Sans" w:hAnsi="Adwaita Sans"/>
          <w:sz w:val="44"/>
          <w:szCs w:val="44"/>
        </w:rPr>
        <w:t> </w:t>
      </w:r>
      <w:r>
        <w:rPr>
          <w:rFonts w:ascii="Adwaita Sans" w:hAnsi="Adwaita Sans"/>
          <w:sz w:val="44"/>
          <w:szCs w:val="44"/>
        </w:rPr>
        <w:t>2025</w:t>
      </w:r>
      <w:r>
        <w:rPr>
          <w:rFonts w:ascii="Adwaita Sans" w:hAnsi="Adwaita Sans"/>
          <w:b w:val="false"/>
          <w:i w:val="false"/>
          <w:sz w:val="44"/>
          <w:szCs w:val="44"/>
        </w:rPr>
        <w:t> </w:t>
      </w:r>
    </w:p>
    <w:p>
      <w:pPr>
        <w:pStyle w:val="Title"/>
        <w:rPr>
          <w:rFonts w:ascii="Adwaita Sans" w:hAnsi="Adwaita Sans"/>
        </w:rPr>
      </w:pPr>
      <w:r>
        <w:rPr>
          <w:rFonts w:ascii="Adwaita Sans" w:hAnsi="Adwaita Sans"/>
          <w:b w:val="false"/>
          <w:i w:val="false"/>
          <w:sz w:val="44"/>
          <w:szCs w:val="44"/>
        </w:rPr>
        <w:t> </w:t>
      </w:r>
    </w:p>
    <w:p>
      <w:pPr>
        <w:pStyle w:val="Title"/>
        <w:rPr>
          <w:rFonts w:ascii="Adwaita Sans" w:hAnsi="Adwaita Sans"/>
        </w:rPr>
      </w:pPr>
      <w:r>
        <w:rPr>
          <w:rFonts w:ascii="Adwaita Sans" w:hAnsi="Adwaita Sans"/>
          <w:sz w:val="44"/>
          <w:szCs w:val="44"/>
        </w:rPr>
        <w:t>Tecnología en Análisis y Desarrollo de Software.</w:t>
      </w:r>
    </w:p>
    <w:p>
      <w:pPr>
        <w:pStyle w:val="Title"/>
        <w:rPr>
          <w:rFonts w:ascii="Adwaita Sans" w:hAnsi="Adwaita Sans"/>
        </w:rPr>
      </w:pPr>
      <w:bookmarkStart w:id="2" w:name="__DdeLink__308_1991315243"/>
      <w:bookmarkStart w:id="3" w:name="__DdeLink__312_1991315243"/>
      <w:r>
        <w:rPr>
          <w:rFonts w:eastAsia="Noto Sans Mono CJK SC" w:cs="Liberation Mono" w:ascii="Adwaita Sans" w:hAnsi="Adwaita Sans"/>
          <w:sz w:val="44"/>
          <w:szCs w:val="44"/>
        </w:rPr>
        <w:t>ADSO</w:t>
      </w:r>
      <w:bookmarkEnd w:id="0"/>
      <w:bookmarkEnd w:id="2"/>
      <w:bookmarkEnd w:id="3"/>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b/>
          <w:bCs/>
          <w:sz w:val="28"/>
          <w:szCs w:val="28"/>
        </w:rPr>
      </w:pPr>
      <w:r>
        <w:rPr>
          <w:rFonts w:ascii="Adwaita Sans" w:hAnsi="Adwaita Sans"/>
          <w:b/>
          <w:bCs/>
          <w:sz w:val="28"/>
          <w:szCs w:val="28"/>
        </w:rPr>
        <w:t xml:space="preserve"> </w:t>
      </w:r>
      <w:r>
        <w:rPr>
          <w:rFonts w:ascii="Adwaita Sans" w:hAnsi="Adwaita Sans"/>
          <w:b/>
          <w:bCs/>
          <w:sz w:val="28"/>
          <w:szCs w:val="28"/>
        </w:rPr>
        <w:t>PROPUESTA DE INVESTIGACIÓN FORMATIVA</w:t>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b/>
          <w:bCs/>
        </w:rPr>
      </w:pPr>
      <w:r>
        <w:rPr>
          <w:rFonts w:ascii="Adwaita Sans" w:hAnsi="Adwaita Sans"/>
          <w:b/>
          <w:bCs/>
          <w:sz w:val="22"/>
          <w:szCs w:val="22"/>
        </w:rPr>
        <w:t>TABLA DE CONTENIDO</w:t>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b/>
          <w:bCs/>
          <w:sz w:val="20"/>
          <w:szCs w:val="20"/>
        </w:rPr>
      </w:pPr>
      <w:r>
        <w:rPr>
          <w:rFonts w:ascii="Adwaita Sans" w:hAnsi="Adwaita Sans"/>
          <w:b/>
          <w:bCs/>
          <w:sz w:val="20"/>
          <w:szCs w:val="20"/>
        </w:rPr>
        <w:t>I. ETAPA 1: DEFINICIÓN Y ESTRUCTURACIÓN DE LA INVESTIGACIÓN</w:t>
      </w:r>
    </w:p>
    <w:p>
      <w:pPr>
        <w:pStyle w:val="PreformattedText"/>
        <w:bidi w:val="0"/>
        <w:spacing w:before="0" w:after="0"/>
        <w:jc w:val="start"/>
        <w:rPr>
          <w:rFonts w:ascii="Adwaita Sans" w:hAnsi="Adwaita Sans"/>
          <w:sz w:val="20"/>
          <w:szCs w:val="20"/>
        </w:rPr>
      </w:pPr>
      <w:r>
        <w:rPr>
          <w:rFonts w:ascii="Adwaita Sans" w:hAnsi="Adwaita San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1. ASPECTOS GENERALES Y PLANTEAMIENTO DEL PROBLEMA</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1.1 Título del Proyecto: "Desarrollo de un Sistema de Información basado en Tecnologías Open Source para la Recolección y Gestión de Datos Censales en Comunidades Rurales con Funcionamiento Offline-First"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1.2 Planteamiento del Problema</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2. JUSTIFICACIÓN Y ALCANCE</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2.1 Justificación del Proyecto (Social, Económica, Tecnológica, Académica)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2.3 Alcance del Proyecto (Funcional, Geográfico, Temporal, Poblacional)</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3. MARCO TEÓRICO Y CONCEPTUAL</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3.1 Antecedentes y Estado del Arte (Experiencias Internacionales, Lecciones Aprendidas)</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3.2 Bases Teóricas (Modelo de Éxito de SI, Modelo TAM, Teoría de Carga Cognitiva)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3.3 Marco Conceptual del Dominio (Actores, Procesos, Conceptos Clave)</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b w:val="false"/>
          <w:bCs w:val="false"/>
          <w:i/>
          <w:i/>
          <w:iCs/>
          <w:sz w:val="20"/>
          <w:szCs w:val="20"/>
        </w:rPr>
      </w:pPr>
      <w:r>
        <w:rPr>
          <w:rFonts w:ascii="Adwaita Sans" w:hAnsi="Adwaita Sans"/>
          <w:b w:val="false"/>
          <w:bCs w:val="false"/>
          <w:i/>
          <w:iCs/>
          <w:sz w:val="20"/>
          <w:szCs w:val="20"/>
        </w:rPr>
        <w:t>4. METODOLOGÍA Y VARIABLES</w:t>
      </w:r>
    </w:p>
    <w:p>
      <w:pPr>
        <w:pStyle w:val="PreformattedText"/>
        <w:bidi w:val="0"/>
        <w:spacing w:before="0" w:after="0"/>
        <w:jc w:val="start"/>
        <w:rPr>
          <w:rFonts w:ascii="Adwaita Sans" w:hAnsi="Adwaita Sans"/>
          <w:b w:val="false"/>
          <w:bCs w:val="false"/>
          <w:i/>
          <w:i/>
          <w:iCs/>
          <w:sz w:val="20"/>
          <w:szCs w:val="20"/>
        </w:rPr>
      </w:pPr>
      <w:r>
        <w:rPr>
          <w:rFonts w:ascii="Adwaita Sans" w:hAnsi="Adwaita Sans"/>
          <w:b w:val="false"/>
          <w:bCs w:val="false"/>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4.3 Variables de Estudio (Independientes, Dependientes, Control)</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b/>
          <w:bCs/>
          <w:sz w:val="20"/>
          <w:szCs w:val="20"/>
        </w:rPr>
      </w:pPr>
      <w:r>
        <w:rPr>
          <w:rFonts w:ascii="Adwaita Sans" w:hAnsi="Adwaita Sans"/>
          <w:b/>
          <w:bCs/>
          <w:sz w:val="20"/>
          <w:szCs w:val="20"/>
        </w:rPr>
        <w:t>II. ETAPA 2: EJECUCIÓN Y RECOLECCIÓN DE INFORMACIÓN</w:t>
      </w:r>
    </w:p>
    <w:p>
      <w:pPr>
        <w:pStyle w:val="PreformattedText"/>
        <w:bidi w:val="0"/>
        <w:spacing w:before="0" w:after="0"/>
        <w:jc w:val="start"/>
        <w:rPr>
          <w:rFonts w:ascii="Adwaita Sans" w:hAnsi="Adwaita Sans"/>
          <w:sz w:val="20"/>
          <w:szCs w:val="20"/>
        </w:rPr>
      </w:pPr>
      <w:r>
        <w:rPr>
          <w:rFonts w:ascii="Adwaita Sans" w:hAnsi="Adwaita San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5. REGISTRO DE BÚSQUEDA Y DOCUMENTACIÓN</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 </w:t>
      </w:r>
      <w:r>
        <w:rPr>
          <w:rFonts w:ascii="Adwaita Sans" w:hAnsi="Adwaita Sans"/>
          <w:i/>
          <w:iCs/>
          <w:sz w:val="20"/>
          <w:szCs w:val="20"/>
        </w:rPr>
        <w:t>5.1 Estrategia de Búsqueda Bibliográfica (Ecuación Principal, Términos MESH/DeCS) 5.2 Bases de Datos Consultadas 5.3 Criterios de Inclusión y Exclusión (Proceso)</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6. TÉCNICAS E INSTRUMENTOS DE RECOLECCIÓN</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6.1 Encuestas Estructuradas (Instrumento 1: Perfil y Necesidades; Instrumento 2: System Usability Scale (SUS); Instrumento 3: TAM Adaptado)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6.4 Análisis Documental (Categorías, Registros históricos, Incidentes)</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b/>
          <w:bCs/>
          <w:sz w:val="20"/>
          <w:szCs w:val="20"/>
        </w:rPr>
      </w:pPr>
      <w:r>
        <w:rPr>
          <w:rFonts w:ascii="Adwaita Sans" w:hAnsi="Adwaita Sans"/>
          <w:b/>
          <w:bCs/>
          <w:sz w:val="20"/>
          <w:szCs w:val="20"/>
        </w:rPr>
        <w:t>III. ETAPA 3: PROCESAMIENTO Y ANÁLISIS DE DATOS</w:t>
      </w:r>
    </w:p>
    <w:p>
      <w:pPr>
        <w:pStyle w:val="PreformattedText"/>
        <w:bidi w:val="0"/>
        <w:spacing w:before="0" w:after="0"/>
        <w:jc w:val="start"/>
        <w:rPr>
          <w:rFonts w:ascii="Adwaita Sans" w:hAnsi="Adwaita Sans"/>
          <w:sz w:val="20"/>
          <w:szCs w:val="20"/>
        </w:rPr>
      </w:pPr>
      <w:r>
        <w:rPr>
          <w:rFonts w:ascii="Adwaita Sans" w:hAnsi="Adwaita San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7. ANÁLISIS DE LA INFORMACIÓN RECOLECTADA</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7.1 Procesamiento de Datos Cuantitativos (Limpieza)</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8. ANÁLISIS DE REQUISITOS DEL SISTEMA</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8.1 Requisitos Funcionales (RF-01 Formularios Dinámicos, RF-02 Georreferenciación Automática, RF-03 Adjunto Fotos, RF-04 Almacenamiento Local Completo, RF-05 Sincronización Inteligente)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8.3 Modelado del Sistema (Caso de Uso Principal "Capturar Censo")</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b/>
          <w:bCs/>
          <w:sz w:val="20"/>
          <w:szCs w:val="20"/>
        </w:rPr>
      </w:pPr>
      <w:r>
        <w:rPr>
          <w:rFonts w:ascii="Adwaita Sans" w:hAnsi="Adwaita Sans"/>
          <w:b/>
          <w:bCs/>
          <w:sz w:val="20"/>
          <w:szCs w:val="20"/>
        </w:rPr>
        <w:t>IV. ETAPA 4: PRESENTACIÓN DE RESULTADOS E INTERPRETACIÓN</w:t>
      </w:r>
    </w:p>
    <w:p>
      <w:pPr>
        <w:pStyle w:val="PreformattedText"/>
        <w:bidi w:val="0"/>
        <w:spacing w:before="0" w:after="0"/>
        <w:jc w:val="start"/>
        <w:rPr>
          <w:rFonts w:ascii="Adwaita Sans" w:hAnsi="Adwaita Sans"/>
          <w:sz w:val="20"/>
          <w:szCs w:val="20"/>
        </w:rPr>
      </w:pPr>
      <w:r>
        <w:rPr>
          <w:rFonts w:ascii="Adwaita Sans" w:hAnsi="Adwaita San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9. RESULTADOS DE LA INVESTIGACIÓN</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9.1 Diagnóstico de la Situación Actual (Tiempos Operacionales Extendidos, Problemas de Calidad)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9.2 Necesidades Tecnológicas Identificadas</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 xml:space="preserve">9.3 Validación de la Solución Propuesta </w:t>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r>
    </w:p>
    <w:p>
      <w:pPr>
        <w:pStyle w:val="PreformattedText"/>
        <w:bidi w:val="0"/>
        <w:spacing w:before="0" w:after="0"/>
        <w:jc w:val="start"/>
        <w:rPr>
          <w:rFonts w:ascii="Adwaita Sans" w:hAnsi="Adwaita Sans"/>
          <w:i/>
          <w:i/>
          <w:iCs/>
          <w:sz w:val="20"/>
          <w:szCs w:val="20"/>
        </w:rPr>
      </w:pPr>
      <w:r>
        <w:rPr>
          <w:rFonts w:ascii="Adwaita Sans" w:hAnsi="Adwaita Sans"/>
          <w:i/>
          <w:iCs/>
          <w:sz w:val="20"/>
          <w:szCs w:val="20"/>
        </w:rPr>
        <w:t>9.4 Conclusion</w:t>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before="0" w:after="0"/>
        <w:jc w:val="both"/>
        <w:rPr>
          <w:rFonts w:ascii="Adwaita Sans" w:hAnsi="Adwaita Sans"/>
          <w:b/>
          <w:bCs/>
          <w:sz w:val="22"/>
          <w:szCs w:val="22"/>
        </w:rPr>
      </w:pPr>
      <w:r>
        <w:rPr>
          <w:rFonts w:ascii="Adwaita Sans" w:hAnsi="Adwaita Sans"/>
          <w:b/>
          <w:bCs/>
          <w:sz w:val="22"/>
          <w:szCs w:val="22"/>
        </w:rPr>
        <w:t>INTRODUCCIÓN</w:t>
      </w:r>
    </w:p>
    <w:p>
      <w:pPr>
        <w:pStyle w:val="PreformattedText"/>
        <w:bidi w:val="0"/>
        <w:spacing w:before="0" w:after="0"/>
        <w:jc w:val="both"/>
        <w:rPr>
          <w:rFonts w:ascii="Adwaita Sans" w:hAnsi="Adwaita Sans"/>
          <w:sz w:val="22"/>
          <w:szCs w:val="22"/>
        </w:rPr>
      </w:pPr>
      <w:r>
        <w:rPr>
          <w:rFonts w:ascii="Adwaita Sans" w:hAnsi="Adwaita Sans"/>
          <w:sz w:val="22"/>
          <w:szCs w:val="22"/>
        </w:rPr>
        <w:t>El presente documento formaliza la propuesta de investigación formativa para el proyecto "Censo Rural", cuyo título es: "Desarrollo de un Sistema de Información basado en Tecnologías Open Source para la Recolección y Gestión de Datos Censales en Comunidades Rurales con Funcionamiento Offline-First".</w:t>
      </w:r>
    </w:p>
    <w:p>
      <w:pPr>
        <w:pStyle w:val="PreformattedText"/>
        <w:bidi w:val="0"/>
        <w:spacing w:before="0" w:after="0"/>
        <w:jc w:val="both"/>
        <w:rPr>
          <w:rFonts w:ascii="Adwaita Sans" w:hAnsi="Adwaita Sans"/>
          <w:sz w:val="22"/>
          <w:szCs w:val="22"/>
        </w:rPr>
      </w:pPr>
      <w:r>
        <w:rPr>
          <w:rFonts w:ascii="Adwaita Sans" w:hAnsi="Adwaita Sans"/>
          <w:sz w:val="22"/>
          <w:szCs w:val="22"/>
        </w:rPr>
      </w:r>
    </w:p>
    <w:p>
      <w:pPr>
        <w:pStyle w:val="PreformattedText"/>
        <w:bidi w:val="0"/>
        <w:spacing w:before="0" w:after="0"/>
        <w:jc w:val="both"/>
        <w:rPr>
          <w:rFonts w:ascii="Adwaita Sans" w:hAnsi="Adwaita Sans"/>
          <w:sz w:val="22"/>
          <w:szCs w:val="22"/>
        </w:rPr>
      </w:pPr>
      <w:r>
        <w:rPr>
          <w:rFonts w:ascii="Adwaita Sans" w:hAnsi="Adwaita Sans"/>
          <w:sz w:val="22"/>
          <w:szCs w:val="22"/>
        </w:rPr>
        <w:t>La necesidad de esta investigación surge de la problemática crítica que enfrenta la recolección sistemática de información censal en Colombia, donde aproximadamente el 23% de la población habita en zonas rurales dispersas</w:t>
      </w:r>
    </w:p>
    <w:p>
      <w:pPr>
        <w:pStyle w:val="PreformattedText"/>
        <w:bidi w:val="0"/>
        <w:spacing w:before="0" w:after="0"/>
        <w:jc w:val="both"/>
        <w:rPr>
          <w:rFonts w:ascii="Adwaita Sans" w:hAnsi="Adwaita Sans"/>
          <w:sz w:val="22"/>
          <w:szCs w:val="22"/>
        </w:rPr>
      </w:pPr>
      <w:r>
        <w:rPr>
          <w:rFonts w:ascii="Adwaita Sans" w:hAnsi="Adwaita Sans"/>
          <w:sz w:val="22"/>
          <w:szCs w:val="22"/>
        </w:rPr>
        <w:t>Los procesos tradicionales, basados en formularios impresos, presentan deficiencias estructurales graves. Estas deficiencias incluyen tiempos extendidos (hasta 6-12 meses desde la captura hasta la disponibilidad de datos procesados), baja calidad de información (tasas de error entre 8-15% debido a transcripción manual e inconsistencias), costos operacionales elevados (estimados en $27,590 COP por hogar censado) y la pérdida de formularios físicos por condiciones ambientales adversas. Además, el 78% de las veredas rurales carecen de acceso confiable a internet, haciendo inoperable cualquier solución que dependa de la conectividad permanente.</w:t>
      </w:r>
    </w:p>
    <w:p>
      <w:pPr>
        <w:pStyle w:val="PreformattedText"/>
        <w:bidi w:val="0"/>
        <w:spacing w:before="0" w:after="0"/>
        <w:jc w:val="both"/>
        <w:rPr>
          <w:rFonts w:ascii="Adwaita Sans" w:hAnsi="Adwaita Sans"/>
          <w:sz w:val="22"/>
          <w:szCs w:val="22"/>
        </w:rPr>
      </w:pPr>
      <w:r>
        <w:rPr>
          <w:rFonts w:ascii="Adwaita Sans" w:hAnsi="Adwaita Sans"/>
          <w:sz w:val="22"/>
          <w:szCs w:val="22"/>
        </w:rPr>
      </w:r>
    </w:p>
    <w:p>
      <w:pPr>
        <w:pStyle w:val="PreformattedText"/>
        <w:bidi w:val="0"/>
        <w:spacing w:before="0" w:after="0"/>
        <w:jc w:val="both"/>
        <w:rPr>
          <w:rFonts w:ascii="Adwaita Sans" w:hAnsi="Adwaita Sans"/>
          <w:sz w:val="22"/>
          <w:szCs w:val="22"/>
        </w:rPr>
      </w:pPr>
      <w:r>
        <w:rPr>
          <w:rFonts w:ascii="Adwaita Sans" w:hAnsi="Adwaita Sans"/>
          <w:sz w:val="22"/>
          <w:szCs w:val="22"/>
        </w:rPr>
        <w:t>El propósito de la elicitación de requerimientos que fundamenta esta propuesta es obtener conocimientos relevantes del problema que se utilizarán para generar una especificación formal del software.</w:t>
      </w:r>
    </w:p>
    <w:p>
      <w:pPr>
        <w:pStyle w:val="PreformattedText"/>
        <w:bidi w:val="0"/>
        <w:spacing w:before="0" w:after="0"/>
        <w:jc w:val="both"/>
        <w:rPr>
          <w:rFonts w:ascii="Adwaita Sans" w:hAnsi="Adwaita Sans"/>
          <w:sz w:val="22"/>
          <w:szCs w:val="22"/>
        </w:rPr>
      </w:pPr>
      <w:r>
        <w:rPr>
          <w:rFonts w:ascii="Adwaita Sans" w:hAnsi="Adwaita Sans"/>
          <w:sz w:val="22"/>
          <w:szCs w:val="22"/>
        </w:rPr>
      </w:r>
    </w:p>
    <w:p>
      <w:pPr>
        <w:pStyle w:val="PreformattedText"/>
        <w:bidi w:val="0"/>
        <w:spacing w:before="0" w:after="0"/>
        <w:jc w:val="both"/>
        <w:rPr>
          <w:rFonts w:ascii="Adwaita Sans" w:hAnsi="Adwaita Sans"/>
          <w:sz w:val="22"/>
          <w:szCs w:val="22"/>
        </w:rPr>
      </w:pPr>
      <w:r>
        <w:rPr>
          <w:rFonts w:ascii="Adwaita Sans" w:hAnsi="Adwaita Sans"/>
          <w:sz w:val="22"/>
          <w:szCs w:val="22"/>
        </w:rPr>
        <w:t>El objetivo general del proyecto es desarrollar e implementar un sistema de información que, utilizando tecnologías open source, optimice los procesos de recolección de datos censales, implementando un funcionamiento offline-first</w:t>
      </w:r>
    </w:p>
    <w:p>
      <w:pPr>
        <w:pStyle w:val="PreformattedText"/>
        <w:bidi w:val="0"/>
        <w:spacing w:before="0" w:after="0"/>
        <w:jc w:val="both"/>
        <w:rPr>
          <w:rFonts w:ascii="Adwaita Sans" w:hAnsi="Adwaita Sans"/>
          <w:sz w:val="22"/>
          <w:szCs w:val="22"/>
        </w:rPr>
      </w:pPr>
      <w:r>
        <w:rPr>
          <w:rFonts w:ascii="Adwaita Sans" w:hAnsi="Adwaita Sans"/>
          <w:sz w:val="22"/>
          <w:szCs w:val="22"/>
        </w:rPr>
        <w:t>Este enfoque busca reducir los costos operacionales en un 80% y aumentar la calidad de los datos a más del 95%.</w:t>
      </w:r>
    </w:p>
    <w:p>
      <w:pPr>
        <w:pStyle w:val="PreformattedText"/>
        <w:bidi w:val="0"/>
        <w:spacing w:before="0" w:after="0"/>
        <w:jc w:val="both"/>
        <w:rPr>
          <w:rFonts w:ascii="Adwaita Sans" w:hAnsi="Adwaita Sans"/>
          <w:sz w:val="22"/>
          <w:szCs w:val="22"/>
        </w:rPr>
      </w:pPr>
      <w:r>
        <w:rPr>
          <w:rFonts w:ascii="Adwaita Sans" w:hAnsi="Adwaita Sans"/>
          <w:sz w:val="22"/>
          <w:szCs w:val="22"/>
        </w:rPr>
      </w:r>
    </w:p>
    <w:p>
      <w:pPr>
        <w:pStyle w:val="PreformattedText"/>
        <w:bidi w:val="0"/>
        <w:spacing w:before="0" w:after="0"/>
        <w:jc w:val="both"/>
        <w:rPr>
          <w:rFonts w:ascii="Adwaita Sans" w:hAnsi="Adwaita Sans"/>
          <w:sz w:val="22"/>
          <w:szCs w:val="22"/>
        </w:rPr>
      </w:pPr>
      <w:r>
        <w:rPr>
          <w:rFonts w:ascii="Adwaita Sans" w:hAnsi="Adwaita Sans"/>
          <w:sz w:val="22"/>
          <w:szCs w:val="22"/>
        </w:rPr>
        <w:t>Para abordar esta meta, la investigación utiliza un enfoque metodológico mixto (70% cualitativo y 30% cuantitativo), con un diseño convergente paralelo. El método de desarrollo de software que guía el proyecto es la Programación Extrema (XP), la cual se basa en entregas frecuentes de módulos funcionales independientes y testing continuo, favoreciendo una arquitectura modular. Los hallazgos de esta investigación guiarán el diseño de la solución, que debe ser ejecutada en local (Linux u Android) y sincronizar los datos en la base de datos solo cuando haya conectividad disponible</w:t>
      </w:r>
      <w:r>
        <w:rPr>
          <w:rFonts w:ascii="Adwaita Sans" w:hAnsi="Adwaita Sans"/>
        </w:rPr>
        <w:t>.</w:t>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lineRule="auto" w:line="276" w:before="0" w:after="0"/>
        <w:jc w:val="both"/>
        <w:rPr/>
      </w:pPr>
      <w:r>
        <w:rPr>
          <w:rFonts w:ascii="Adwaita Sans" w:hAnsi="Adwaita Sans"/>
          <w:b/>
          <w:bCs/>
          <w:sz w:val="26"/>
          <w:szCs w:val="26"/>
        </w:rPr>
        <w:t>I. ETAPA 1: DEFINICIÓN Y ESTRUCTURACIÓN DE LA INVESTIGACIÓN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4"/>
          <w:szCs w:val="24"/>
        </w:rPr>
      </w:pPr>
      <w:r>
        <w:rPr>
          <w:rFonts w:ascii="Adwaita Sans" w:hAnsi="Adwaita Sans"/>
          <w:b/>
          <w:bCs/>
          <w:sz w:val="24"/>
          <w:szCs w:val="24"/>
        </w:rPr>
        <w:t>1. ASPECTOS GENERALES Y PLANTEAMIENTO DEL PROBLEMA</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1.1 Título del Proyecto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"Desarrollo de un Sistema de Información basado en Tecnologías Open Source para la Recolección y Gestión de Datos Censales en Comunidades Rurales con Funcionamiento Offline-First".</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rPr>
      </w:pPr>
      <w:r>
        <w:rPr>
          <w:rFonts w:ascii="Adwaita Sans" w:hAnsi="Adwaita Sans"/>
          <w:b/>
          <w:bCs/>
          <w:sz w:val="22"/>
          <w:szCs w:val="22"/>
        </w:rPr>
        <w:t>1.2 Planteamiento del Problema</w:t>
      </w:r>
    </w:p>
    <w:p>
      <w:pPr>
        <w:pStyle w:val="PreformattedText"/>
        <w:bidi w:val="0"/>
        <w:spacing w:lineRule="auto" w:line="276" w:before="0" w:after="0"/>
        <w:jc w:val="both"/>
        <w:rPr/>
      </w:pPr>
      <w:r>
        <w:rPr>
          <w:rFonts w:ascii="Adwaita Sans" w:hAnsi="Adwaita Sans"/>
          <w:sz w:val="22"/>
          <w:szCs w:val="22"/>
        </w:rPr>
        <w:t>En Colombia, aproximadamente el 23% de la población habita en zonas rurales dispersas (DANE, 2023), donde la recolección sistemática de información censal enfrenta múltiples desafíos críticos que comprometen la calidad, oportunidad y costo-efectividad de los datos obtenidos.</w:t>
      </w:r>
    </w:p>
    <w:p>
      <w:pPr>
        <w:pStyle w:val="PreformattedText"/>
        <w:bidi w:val="0"/>
        <w:spacing w:lineRule="auto" w:line="276" w:before="0" w:after="0"/>
        <w:jc w:val="both"/>
        <w:rPr>
          <w:b/>
          <w:bCs/>
        </w:rPr>
      </w:pPr>
      <w:r>
        <w:rPr>
          <w:rFonts w:ascii="Adwaita Sans" w:hAnsi="Adwaita Sans"/>
          <w:b/>
          <w:bCs/>
          <w:sz w:val="22"/>
          <w:szCs w:val="22"/>
        </w:rPr>
        <w:t>Problemática Identificada:</w:t>
      </w:r>
    </w:p>
    <w:p>
      <w:pPr>
        <w:pStyle w:val="PreformattedText"/>
        <w:bidi w:val="0"/>
        <w:spacing w:lineRule="auto" w:line="276" w:before="0" w:after="0"/>
        <w:jc w:val="both"/>
        <w:rPr/>
      </w:pPr>
      <w:r>
        <w:rPr>
          <w:rFonts w:ascii="Adwaita Sans" w:hAnsi="Adwaita Sans"/>
          <w:sz w:val="22"/>
          <w:szCs w:val="22"/>
        </w:rPr>
        <w:t>Los procesos tradicionales de censo rural basados en formularios impresos presentan deficiencias estructurales: (a) tiempos extendidos de 6-12 meses desde captura hasta disponibilidad de datos procesados; (b) baja calidad de información con tasas de error del 8-15% por transcripción manual, omisiones e inconsistencias; (c) costos operacionales elevados estimados en $27,590 COP por hogar censado, considerando materiales, digitación, transporte y corrección de errores; (d) conectividad limitada en 78% de veredas rurales que carecen de acceso confiable a internet; y (e) pérdida/deterioro de formularios físicos por condiciones ambientales adversas.</w:t>
      </w:r>
    </w:p>
    <w:p>
      <w:pPr>
        <w:pStyle w:val="PreformattedText"/>
        <w:bidi w:val="0"/>
        <w:spacing w:lineRule="auto" w:line="276" w:before="0" w:after="0"/>
        <w:jc w:val="both"/>
        <w:rPr/>
      </w:pPr>
      <w:r>
        <w:rPr>
          <w:rFonts w:ascii="Adwaita Sans" w:hAnsi="Adwaita Sans"/>
          <w:sz w:val="22"/>
          <w:szCs w:val="22"/>
        </w:rPr>
        <w:t>Esta situación genera impacto directo en políticas públicas: asignación ineficiente de recursos, programas sociales mal focalizados, imposibilidad de monitorear indicadores de desarrollo rural, y toma de decisiones basada en datos desactualizados o estimaciones imprecisas.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1.3 Formulación del Problema</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Pregunta Central:</w:t>
      </w:r>
    </w:p>
    <w:p>
      <w:pPr>
        <w:pStyle w:val="PreformattedText"/>
        <w:bidi w:val="0"/>
        <w:spacing w:lineRule="auto" w:line="276" w:before="0" w:after="0"/>
        <w:jc w:val="both"/>
        <w:rPr/>
      </w:pPr>
      <w:r>
        <w:rPr>
          <w:rFonts w:ascii="Adwaita Sans" w:hAnsi="Adwaita Sans"/>
          <w:sz w:val="22"/>
          <w:szCs w:val="22"/>
        </w:rPr>
        <w:t>¿Cómo puede un sistema de información basado en tecnologías open source con funcionamiento offline-first optimizar la recolección, gestión y análisis de datos censales en comunidades rurales colombianas, reduciendo costos operacionales y mejorando calidad de datos?</w:t>
      </w:r>
    </w:p>
    <w:p>
      <w:pPr>
        <w:pStyle w:val="PreformattedText"/>
        <w:bidi w:val="0"/>
        <w:spacing w:lineRule="auto" w:line="276" w:before="0" w:after="0"/>
        <w:jc w:val="both"/>
        <w:rPr/>
      </w:pPr>
      <w:r>
        <w:rPr>
          <w:rFonts w:ascii="Adwaita Sans" w:hAnsi="Adwaita Sans"/>
          <w:sz w:val="22"/>
          <w:szCs w:val="22"/>
        </w:rPr>
        <w:t>Preguntas Específicas:</w:t>
      </w:r>
    </w:p>
    <w:p>
      <w:pPr>
        <w:pStyle w:val="PreformattedText"/>
        <w:bidi w:val="0"/>
        <w:spacing w:lineRule="auto" w:line="276" w:before="0" w:after="0"/>
        <w:jc w:val="both"/>
        <w:rPr/>
      </w:pPr>
      <w:r>
        <w:rPr>
          <w:rFonts w:ascii="Adwaita Sans" w:hAnsi="Adwaita Sans"/>
          <w:sz w:val="22"/>
          <w:szCs w:val="22"/>
        </w:rPr>
        <w:t>¿Cuáles son las limitaciones de los métodos tradicionales de censo rural y cómo afectan la calidad y oportunidad de datos?</w:t>
      </w:r>
    </w:p>
    <w:p>
      <w:pPr>
        <w:pStyle w:val="PreformattedText"/>
        <w:bidi w:val="0"/>
        <w:spacing w:lineRule="auto" w:line="276" w:before="0" w:after="0"/>
        <w:jc w:val="both"/>
        <w:rPr/>
      </w:pPr>
      <w:r>
        <w:rPr>
          <w:rFonts w:ascii="Adwaita Sans" w:hAnsi="Adwaita Sans"/>
          <w:sz w:val="22"/>
          <w:szCs w:val="22"/>
        </w:rPr>
        <w:t>¿Qué características técnicas debe tener un sistema para ser efectivo en contextos rurales con conectividad intermitente?</w:t>
      </w:r>
    </w:p>
    <w:p>
      <w:pPr>
        <w:pStyle w:val="PreformattedText"/>
        <w:bidi w:val="0"/>
        <w:spacing w:lineRule="auto" w:line="276" w:before="0" w:after="0"/>
        <w:jc w:val="both"/>
        <w:rPr/>
      </w:pPr>
      <w:r>
        <w:rPr>
          <w:rFonts w:ascii="Adwaita Sans" w:hAnsi="Adwaita Sans"/>
          <w:sz w:val="22"/>
          <w:szCs w:val="22"/>
        </w:rPr>
        <w:t>¿Cómo pueden las tecnologías open source reducir costos de desarrollo liberando recursos para capacitación y seguridad?</w:t>
      </w:r>
    </w:p>
    <w:p>
      <w:pPr>
        <w:pStyle w:val="PreformattedText"/>
        <w:bidi w:val="0"/>
        <w:spacing w:lineRule="auto" w:line="276" w:before="0" w:after="0"/>
        <w:jc w:val="both"/>
        <w:rPr/>
      </w:pPr>
      <w:r>
        <w:rPr>
          <w:rFonts w:ascii="Adwaita Sans" w:hAnsi="Adwaita Sans"/>
          <w:sz w:val="22"/>
          <w:szCs w:val="22"/>
        </w:rPr>
        <w:t>¿Qué requisitos de usabilidad son necesarios para usuarios con baja alfabetización digital?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¿Cómo garantizar seguridad de datos personales en operación offline con sincronización posterior?</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1.4 Objetivos de la Investigación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Objetivo General:</w:t>
      </w:r>
    </w:p>
    <w:p>
      <w:pPr>
        <w:pStyle w:val="PreformattedText"/>
        <w:bidi w:val="0"/>
        <w:spacing w:lineRule="auto" w:line="276" w:before="0" w:after="0"/>
        <w:jc w:val="both"/>
        <w:rPr/>
      </w:pPr>
      <w:r>
        <w:rPr>
          <w:rFonts w:ascii="Adwaita Sans" w:hAnsi="Adwaita Sans"/>
          <w:sz w:val="22"/>
          <w:szCs w:val="22"/>
        </w:rPr>
        <w:t>Desarrollar e implementar un sistema de información basado en tecnologías open source para la recolección, gestión y análisis de datos censales en comunidades rurales, optimizando procesos mediante funcionamiento offline-first, reduciendo costos operacionales en 80% y aumentando calidad de datos a &gt;95%, facilitando información actualizada para diseño de políticas públicas orientadas al desarrollo rural integral.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Objetivos Específicos:</w:t>
      </w:r>
    </w:p>
    <w:p>
      <w:pPr>
        <w:pStyle w:val="PreformattedText"/>
        <w:bidi w:val="0"/>
        <w:spacing w:lineRule="auto" w:line="276" w:before="0" w:after="0"/>
        <w:jc w:val="both"/>
        <w:rPr/>
      </w:pPr>
      <w:r>
        <w:rPr>
          <w:rFonts w:ascii="Adwaita Sans" w:hAnsi="Adwaita Sans"/>
          <w:sz w:val="22"/>
          <w:szCs w:val="22"/>
        </w:rPr>
        <w:t>Diagnosticar el proceso actual de censo rural identificando brechas tecnológicas, limitaciones operacionales y necesidades de usuarios</w:t>
      </w:r>
    </w:p>
    <w:p>
      <w:pPr>
        <w:pStyle w:val="PreformattedText"/>
        <w:bidi w:val="0"/>
        <w:spacing w:lineRule="auto" w:line="276" w:before="0" w:after="0"/>
        <w:jc w:val="both"/>
        <w:rPr/>
      </w:pPr>
      <w:r>
        <w:rPr>
          <w:rFonts w:ascii="Adwaita Sans" w:hAnsi="Adwaita Sans"/>
          <w:sz w:val="22"/>
          <w:szCs w:val="22"/>
        </w:rPr>
        <w:t>Diseñar arquitectura de sistema que garantice funcionamiento offline-first con sincronización inteligente usando stack open source</w:t>
      </w:r>
    </w:p>
    <w:p>
      <w:pPr>
        <w:pStyle w:val="PreformattedText"/>
        <w:bidi w:val="0"/>
        <w:spacing w:lineRule="auto" w:line="276" w:before="0" w:after="0"/>
        <w:jc w:val="both"/>
        <w:rPr/>
      </w:pPr>
      <w:r>
        <w:rPr>
          <w:rFonts w:ascii="Adwaita Sans" w:hAnsi="Adwaita Sans"/>
          <w:sz w:val="22"/>
          <w:szCs w:val="22"/>
        </w:rPr>
        <w:t>Especificar requisitos funcionales y no funcionales del sistema con énfasis en seguridad, usabilidad y disponibilidad</w:t>
      </w:r>
    </w:p>
    <w:p>
      <w:pPr>
        <w:pStyle w:val="PreformattedText"/>
        <w:bidi w:val="0"/>
        <w:spacing w:lineRule="auto" w:line="276" w:before="0" w:after="0"/>
        <w:jc w:val="both"/>
        <w:rPr/>
      </w:pPr>
      <w:r>
        <w:rPr>
          <w:rFonts w:ascii="Adwaita Sans" w:hAnsi="Adwaita Sans"/>
          <w:sz w:val="22"/>
          <w:szCs w:val="22"/>
        </w:rPr>
        <w:t>Desarrollar prototipo funcional del módulo de captura de datos validando viabilidad técnica mediante pruebas en campo</w:t>
      </w:r>
    </w:p>
    <w:p>
      <w:pPr>
        <w:pStyle w:val="PreformattedText"/>
        <w:bidi w:val="0"/>
        <w:spacing w:lineRule="auto" w:line="276" w:before="0" w:after="0"/>
        <w:jc w:val="both"/>
        <w:rPr/>
      </w:pPr>
      <w:r>
        <w:rPr>
          <w:rFonts w:ascii="Adwaita Sans" w:hAnsi="Adwaita Sans"/>
          <w:sz w:val="22"/>
          <w:szCs w:val="22"/>
        </w:rPr>
        <w:t>Evaluar impacto en reducción de costos, mejora de calidad de datos y viabilidad de adopción organizacional</w:t>
      </w:r>
    </w:p>
    <w:p>
      <w:pPr>
        <w:pStyle w:val="PreformattedText"/>
        <w:bidi w:val="0"/>
        <w:spacing w:lineRule="auto" w:line="276" w:before="0" w:after="0"/>
        <w:jc w:val="both"/>
        <w:rPr/>
      </w:pPr>
      <w:r>
        <w:rPr>
          <w:rFonts w:ascii="Adwaita Sans" w:hAnsi="Adwaita Sans"/>
          <w:sz w:val="22"/>
          <w:szCs w:val="22"/>
        </w:rPr>
        <w:t>Formular recomendaciones para escalamiento a nivel departamental y nacional.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rPr>
      </w:pPr>
      <w:r>
        <w:rPr>
          <w:rFonts w:ascii="Adwaita Sans" w:hAnsi="Adwaita Sans"/>
          <w:b/>
          <w:bCs/>
          <w:sz w:val="22"/>
          <w:szCs w:val="22"/>
        </w:rPr>
        <w:t>1.5 Enfoque Metodológico</w:t>
      </w:r>
    </w:p>
    <w:p>
      <w:pPr>
        <w:pStyle w:val="PreformattedText"/>
        <w:bidi w:val="0"/>
        <w:spacing w:lineRule="auto" w:line="276" w:before="0" w:after="0"/>
        <w:jc w:val="both"/>
        <w:rPr/>
      </w:pPr>
      <w:r>
        <w:rPr>
          <w:rFonts w:ascii="Adwaita Sans" w:hAnsi="Adwaita Sans"/>
          <w:sz w:val="22"/>
          <w:szCs w:val="22"/>
        </w:rPr>
        <w:t>Investigación Mixta con Diseño Convergente Paralelo:</w:t>
      </w:r>
    </w:p>
    <w:p>
      <w:pPr>
        <w:pStyle w:val="PreformattedText"/>
        <w:bidi w:val="0"/>
        <w:spacing w:lineRule="auto" w:line="276" w:before="0" w:after="0"/>
        <w:jc w:val="both"/>
        <w:rPr/>
      </w:pPr>
      <w:r>
        <w:rPr>
          <w:rFonts w:ascii="Adwaita Sans" w:hAnsi="Adwaita Sans"/>
          <w:sz w:val="22"/>
          <w:szCs w:val="22"/>
        </w:rPr>
        <w:t>Enfoque pragmático que combina datos cualitativos (70%) y cuantitativos (30%) recolectados simultáneamente e integrados en fase de interpretación.</w:t>
      </w:r>
    </w:p>
    <w:p>
      <w:pPr>
        <w:pStyle w:val="PreformattedText"/>
        <w:bidi w:val="0"/>
        <w:spacing w:lineRule="auto" w:line="276" w:before="0" w:after="0"/>
        <w:jc w:val="both"/>
        <w:rPr/>
      </w:pPr>
      <w:r>
        <w:rPr>
          <w:rFonts w:ascii="Adwaita Sans" w:hAnsi="Adwaita Sans"/>
          <w:sz w:val="22"/>
          <w:szCs w:val="22"/>
        </w:rPr>
        <w:t>Tipo: Investigación aplicada, descriptiva-explicativa, con componente cuasi-experimental (comparación grupo control vs experimental).</w:t>
      </w:r>
    </w:p>
    <w:p>
      <w:pPr>
        <w:pStyle w:val="PreformattedText"/>
        <w:bidi w:val="0"/>
        <w:spacing w:lineRule="auto" w:line="276" w:before="0" w:after="0"/>
        <w:jc w:val="both"/>
        <w:rPr/>
      </w:pPr>
      <w:r>
        <w:rPr>
          <w:rFonts w:ascii="Adwaita Sans" w:hAnsi="Adwaita Sans"/>
          <w:sz w:val="22"/>
          <w:szCs w:val="22"/>
        </w:rPr>
        <w:t>Método de Desarrollo: Extreme Programming (XP) con entregas frecuentes cada 2 semanas, desarrollo iterativo, testing continuo y arquitectura modular basada en componentes.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t>2. JUSTIFICACIÓN Y ALCANCE</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2.1 Justificación del Proyecto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Social:</w:t>
      </w:r>
      <w:r>
        <w:rPr>
          <w:rFonts w:ascii="Adwaita Sans" w:hAnsi="Adwaita Sans"/>
          <w:sz w:val="22"/>
          <w:szCs w:val="22"/>
        </w:rPr>
        <w:t xml:space="preserve"> Reducir invisibilidad estadística de 11.5 millones de habitantes rurales, mejorando focalización de programas sociales y planificación de infraestructura basada en evidencia.</w:t>
      </w:r>
    </w:p>
    <w:p>
      <w:pPr>
        <w:pStyle w:val="PreformattedText"/>
        <w:bidi w:val="0"/>
        <w:spacing w:lineRule="auto" w:line="276" w:before="0" w:after="0"/>
        <w:jc w:val="both"/>
        <w:rPr/>
      </w:pPr>
      <w:r>
        <w:rPr>
          <w:rFonts w:ascii="Adwaita Sans" w:hAnsi="Adwaita Sans"/>
          <w:b/>
          <w:bCs/>
          <w:sz w:val="22"/>
          <w:szCs w:val="22"/>
        </w:rPr>
        <w:t>Económica:</w:t>
      </w:r>
      <w:r>
        <w:rPr>
          <w:rFonts w:ascii="Adwaita Sans" w:hAnsi="Adwaita Sans"/>
          <w:sz w:val="22"/>
          <w:szCs w:val="22"/>
        </w:rPr>
        <w:t xml:space="preserve"> Análisis comparativo proyecta ahorro del 82% en costos operacionales ($27,590 vs $4,950 por hogar), con ROI del 183% y recuperación de inversión en primer censo completo.</w:t>
      </w:r>
    </w:p>
    <w:p>
      <w:pPr>
        <w:pStyle w:val="PreformattedText"/>
        <w:bidi w:val="0"/>
        <w:spacing w:lineRule="auto" w:line="276" w:before="0" w:after="0"/>
        <w:jc w:val="both"/>
        <w:rPr/>
      </w:pPr>
      <w:r>
        <w:rPr>
          <w:rFonts w:ascii="Adwaita Sans" w:hAnsi="Adwaita Sans"/>
          <w:b/>
          <w:bCs/>
          <w:sz w:val="22"/>
          <w:szCs w:val="22"/>
        </w:rPr>
        <w:t>Tecnológica:</w:t>
      </w:r>
      <w:r>
        <w:rPr>
          <w:rFonts w:ascii="Adwaita Sans" w:hAnsi="Adwaita Sans"/>
          <w:sz w:val="22"/>
          <w:szCs w:val="22"/>
        </w:rPr>
        <w:t xml:space="preserve"> Adopción de stack 100% open source (React Native, SQLite, Node.js, PostgreSQL) elimina $50M+ COP en licenciamiento, promoviendo soberanía digital y construcción de capacidad local.</w:t>
      </w:r>
    </w:p>
    <w:p>
      <w:pPr>
        <w:pStyle w:val="PreformattedText"/>
        <w:bidi w:val="0"/>
        <w:spacing w:lineRule="auto" w:line="276" w:before="0" w:after="0"/>
        <w:jc w:val="both"/>
        <w:rPr/>
      </w:pPr>
      <w:r>
        <w:rPr>
          <w:rFonts w:ascii="Adwaita Sans" w:hAnsi="Adwaita Sans"/>
          <w:b/>
          <w:bCs/>
          <w:sz w:val="22"/>
          <w:szCs w:val="22"/>
        </w:rPr>
        <w:t>Académica:</w:t>
      </w:r>
      <w:r>
        <w:rPr>
          <w:rFonts w:ascii="Adwaita Sans" w:hAnsi="Adwaita Sans"/>
          <w:sz w:val="22"/>
          <w:szCs w:val="22"/>
        </w:rPr>
        <w:t xml:space="preserve"> Contribución al conocimiento en desarrollo de software para contextos de escasez, con evidencia empírica sobre efectividad de soluciones offline-first y factores de adopción tecnológica en poblaciones rurales.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tbl>
      <w:tblPr>
        <w:tblW w:w="9749" w:type="dxa"/>
        <w:jc w:val="start"/>
        <w:tblInd w:w="0" w:type="dxa"/>
        <w:tblLayout w:type="fixed"/>
        <w:tblCellMar>
          <w:top w:w="28" w:type="dxa"/>
          <w:start w:w="28" w:type="dxa"/>
          <w:bottom w:w="28" w:type="dxa"/>
          <w:end w:w="28" w:type="dxa"/>
        </w:tblCellMar>
      </w:tblPr>
      <w:tblGrid>
        <w:gridCol w:w="3430"/>
        <w:gridCol w:w="2153"/>
        <w:gridCol w:w="3257"/>
        <w:gridCol w:w="908"/>
      </w:tblGrid>
      <w:tr>
        <w:trPr>
          <w:tblHeader w:val="true"/>
        </w:trPr>
        <w:tc>
          <w:tcPr>
            <w:tcW w:w="3430" w:type="dxa"/>
            <w:tcBorders/>
            <w:vAlign w:val="center"/>
          </w:tcPr>
          <w:p>
            <w:pPr>
              <w:pStyle w:val="TableHeading"/>
              <w:jc w:val="both"/>
              <w:rPr/>
            </w:pPr>
            <w:r>
              <w:rPr/>
              <w:t>Concepto</w:t>
            </w:r>
          </w:p>
        </w:tc>
        <w:tc>
          <w:tcPr>
            <w:tcW w:w="2153" w:type="dxa"/>
            <w:tcBorders/>
            <w:vAlign w:val="center"/>
          </w:tcPr>
          <w:p>
            <w:pPr>
              <w:pStyle w:val="TableHeading"/>
              <w:jc w:val="both"/>
              <w:rPr/>
            </w:pPr>
            <w:r>
              <w:rPr/>
              <w:t>Método Tradicional</w:t>
            </w:r>
          </w:p>
        </w:tc>
        <w:tc>
          <w:tcPr>
            <w:tcW w:w="3257" w:type="dxa"/>
            <w:tcBorders/>
            <w:vAlign w:val="center"/>
          </w:tcPr>
          <w:p>
            <w:pPr>
              <w:pStyle w:val="TableHeading"/>
              <w:jc w:val="both"/>
              <w:rPr/>
            </w:pPr>
            <w:r>
              <w:rPr/>
              <w:t>Método Digital Propuesto</w:t>
            </w:r>
          </w:p>
        </w:tc>
        <w:tc>
          <w:tcPr>
            <w:tcW w:w="908" w:type="dxa"/>
            <w:tcBorders/>
            <w:vAlign w:val="center"/>
          </w:tcPr>
          <w:p>
            <w:pPr>
              <w:pStyle w:val="TableHeading"/>
              <w:jc w:val="both"/>
              <w:rPr/>
            </w:pPr>
            <w:r>
              <w:rPr/>
              <w:t>Ahorro</w:t>
            </w:r>
          </w:p>
        </w:tc>
      </w:tr>
      <w:tr>
        <w:trPr/>
        <w:tc>
          <w:tcPr>
            <w:tcW w:w="3430" w:type="dxa"/>
            <w:tcBorders/>
            <w:vAlign w:val="center"/>
          </w:tcPr>
          <w:p>
            <w:pPr>
              <w:pStyle w:val="TableContents"/>
              <w:jc w:val="both"/>
              <w:rPr/>
            </w:pPr>
            <w:r>
              <w:rPr>
                <w:rStyle w:val="Strong"/>
              </w:rPr>
              <w:t>Materiales (formularios, mapas)</w:t>
            </w:r>
          </w:p>
        </w:tc>
        <w:tc>
          <w:tcPr>
            <w:tcW w:w="2153" w:type="dxa"/>
            <w:tcBorders/>
            <w:vAlign w:val="center"/>
          </w:tcPr>
          <w:p>
            <w:pPr>
              <w:pStyle w:val="TableContents"/>
              <w:jc w:val="both"/>
              <w:rPr/>
            </w:pPr>
            <w:r>
              <w:rPr/>
              <w:t>$45,000,000 COP</w:t>
            </w:r>
          </w:p>
        </w:tc>
        <w:tc>
          <w:tcPr>
            <w:tcW w:w="3257" w:type="dxa"/>
            <w:tcBorders/>
            <w:vAlign w:val="center"/>
          </w:tcPr>
          <w:p>
            <w:pPr>
              <w:pStyle w:val="TableContents"/>
              <w:jc w:val="both"/>
              <w:rPr/>
            </w:pPr>
            <w:r>
              <w:rPr/>
              <w:t>$2,000,000 COP (tablets usadas)</w:t>
            </w:r>
          </w:p>
        </w:tc>
        <w:tc>
          <w:tcPr>
            <w:tcW w:w="908" w:type="dxa"/>
            <w:tcBorders/>
            <w:vAlign w:val="center"/>
          </w:tcPr>
          <w:p>
            <w:pPr>
              <w:pStyle w:val="TableContents"/>
              <w:jc w:val="both"/>
              <w:rPr/>
            </w:pPr>
            <w:r>
              <w:rPr/>
              <w:t>96%</w:t>
            </w:r>
          </w:p>
        </w:tc>
      </w:tr>
      <w:tr>
        <w:trPr/>
        <w:tc>
          <w:tcPr>
            <w:tcW w:w="3430" w:type="dxa"/>
            <w:tcBorders/>
            <w:vAlign w:val="center"/>
          </w:tcPr>
          <w:p>
            <w:pPr>
              <w:pStyle w:val="TableContents"/>
              <w:jc w:val="both"/>
              <w:rPr/>
            </w:pPr>
            <w:r>
              <w:rPr>
                <w:rStyle w:val="Strong"/>
              </w:rPr>
              <w:t>Digitación y procesamiento</w:t>
            </w:r>
          </w:p>
        </w:tc>
        <w:tc>
          <w:tcPr>
            <w:tcW w:w="2153" w:type="dxa"/>
            <w:tcBorders/>
            <w:vAlign w:val="center"/>
          </w:tcPr>
          <w:p>
            <w:pPr>
              <w:pStyle w:val="TableContents"/>
              <w:jc w:val="both"/>
              <w:rPr/>
            </w:pPr>
            <w:r>
              <w:rPr/>
              <w:t>$35,000,000 COP</w:t>
            </w:r>
          </w:p>
        </w:tc>
        <w:tc>
          <w:tcPr>
            <w:tcW w:w="3257" w:type="dxa"/>
            <w:tcBorders/>
            <w:vAlign w:val="center"/>
          </w:tcPr>
          <w:p>
            <w:pPr>
              <w:pStyle w:val="TableContents"/>
              <w:jc w:val="both"/>
              <w:rPr/>
            </w:pPr>
            <w:r>
              <w:rPr/>
              <w:t>$0 COP (automático)</w:t>
            </w:r>
          </w:p>
        </w:tc>
        <w:tc>
          <w:tcPr>
            <w:tcW w:w="908" w:type="dxa"/>
            <w:tcBorders/>
            <w:vAlign w:val="center"/>
          </w:tcPr>
          <w:p>
            <w:pPr>
              <w:pStyle w:val="TableContents"/>
              <w:jc w:val="both"/>
              <w:rPr/>
            </w:pPr>
            <w:r>
              <w:rPr/>
              <w:t>100%</w:t>
            </w:r>
          </w:p>
        </w:tc>
      </w:tr>
      <w:tr>
        <w:trPr/>
        <w:tc>
          <w:tcPr>
            <w:tcW w:w="3430" w:type="dxa"/>
            <w:tcBorders/>
            <w:vAlign w:val="center"/>
          </w:tcPr>
          <w:p>
            <w:pPr>
              <w:pStyle w:val="TableContents"/>
              <w:jc w:val="both"/>
              <w:rPr/>
            </w:pPr>
            <w:r>
              <w:rPr>
                <w:rStyle w:val="Strong"/>
              </w:rPr>
              <w:t>Transporte de formularios</w:t>
            </w:r>
          </w:p>
        </w:tc>
        <w:tc>
          <w:tcPr>
            <w:tcW w:w="2153" w:type="dxa"/>
            <w:tcBorders/>
            <w:vAlign w:val="center"/>
          </w:tcPr>
          <w:p>
            <w:pPr>
              <w:pStyle w:val="TableContents"/>
              <w:jc w:val="both"/>
              <w:rPr/>
            </w:pPr>
            <w:r>
              <w:rPr/>
              <w:t>$8,000,000 COP</w:t>
            </w:r>
          </w:p>
        </w:tc>
        <w:tc>
          <w:tcPr>
            <w:tcW w:w="3257" w:type="dxa"/>
            <w:tcBorders/>
            <w:vAlign w:val="center"/>
          </w:tcPr>
          <w:p>
            <w:pPr>
              <w:pStyle w:val="TableContents"/>
              <w:jc w:val="both"/>
              <w:rPr/>
            </w:pPr>
            <w:r>
              <w:rPr/>
              <w:t>$500,000 COP (sincronización)</w:t>
            </w:r>
          </w:p>
        </w:tc>
        <w:tc>
          <w:tcPr>
            <w:tcW w:w="908" w:type="dxa"/>
            <w:tcBorders/>
            <w:vAlign w:val="center"/>
          </w:tcPr>
          <w:p>
            <w:pPr>
              <w:pStyle w:val="TableContents"/>
              <w:jc w:val="both"/>
              <w:rPr/>
            </w:pPr>
            <w:r>
              <w:rPr/>
              <w:t>94%</w:t>
            </w:r>
          </w:p>
        </w:tc>
      </w:tr>
      <w:tr>
        <w:trPr/>
        <w:tc>
          <w:tcPr>
            <w:tcW w:w="3430" w:type="dxa"/>
            <w:tcBorders/>
            <w:vAlign w:val="center"/>
          </w:tcPr>
          <w:p>
            <w:pPr>
              <w:pStyle w:val="TableContents"/>
              <w:jc w:val="both"/>
              <w:rPr/>
            </w:pPr>
            <w:r>
              <w:rPr>
                <w:rStyle w:val="Strong"/>
              </w:rPr>
              <w:t>Corrección de errores</w:t>
            </w:r>
          </w:p>
        </w:tc>
        <w:tc>
          <w:tcPr>
            <w:tcW w:w="2153" w:type="dxa"/>
            <w:tcBorders/>
            <w:vAlign w:val="center"/>
          </w:tcPr>
          <w:p>
            <w:pPr>
              <w:pStyle w:val="TableContents"/>
              <w:jc w:val="both"/>
              <w:rPr/>
            </w:pPr>
            <w:r>
              <w:rPr/>
              <w:t>$12,000,000 COP</w:t>
            </w:r>
          </w:p>
        </w:tc>
        <w:tc>
          <w:tcPr>
            <w:tcW w:w="3257" w:type="dxa"/>
            <w:tcBorders/>
            <w:vAlign w:val="center"/>
          </w:tcPr>
          <w:p>
            <w:pPr>
              <w:pStyle w:val="TableContents"/>
              <w:jc w:val="both"/>
              <w:rPr/>
            </w:pPr>
            <w:r>
              <w:rPr/>
              <w:t>$1,500,000 COP</w:t>
            </w:r>
          </w:p>
        </w:tc>
        <w:tc>
          <w:tcPr>
            <w:tcW w:w="908" w:type="dxa"/>
            <w:tcBorders/>
            <w:vAlign w:val="center"/>
          </w:tcPr>
          <w:p>
            <w:pPr>
              <w:pStyle w:val="TableContents"/>
              <w:jc w:val="both"/>
              <w:rPr/>
            </w:pPr>
            <w:r>
              <w:rPr/>
              <w:t>88%</w:t>
            </w:r>
          </w:p>
        </w:tc>
      </w:tr>
      <w:tr>
        <w:trPr/>
        <w:tc>
          <w:tcPr>
            <w:tcW w:w="3430" w:type="dxa"/>
            <w:tcBorders/>
            <w:vAlign w:val="center"/>
          </w:tcPr>
          <w:p>
            <w:pPr>
              <w:pStyle w:val="TableContents"/>
              <w:jc w:val="both"/>
              <w:rPr/>
            </w:pPr>
            <w:r>
              <w:rPr>
                <w:rStyle w:val="Strong"/>
              </w:rPr>
              <w:t>Almacenamiento físico</w:t>
            </w:r>
          </w:p>
        </w:tc>
        <w:tc>
          <w:tcPr>
            <w:tcW w:w="2153" w:type="dxa"/>
            <w:tcBorders/>
            <w:vAlign w:val="center"/>
          </w:tcPr>
          <w:p>
            <w:pPr>
              <w:pStyle w:val="TableContents"/>
              <w:jc w:val="both"/>
              <w:rPr/>
            </w:pPr>
            <w:r>
              <w:rPr/>
              <w:t>$3,000,000 COP</w:t>
            </w:r>
          </w:p>
        </w:tc>
        <w:tc>
          <w:tcPr>
            <w:tcW w:w="3257" w:type="dxa"/>
            <w:tcBorders/>
            <w:vAlign w:val="center"/>
          </w:tcPr>
          <w:p>
            <w:pPr>
              <w:pStyle w:val="TableContents"/>
              <w:jc w:val="both"/>
              <w:rPr/>
            </w:pPr>
            <w:r>
              <w:rPr/>
              <w:t>$200,000 COP (nube)</w:t>
            </w:r>
          </w:p>
        </w:tc>
        <w:tc>
          <w:tcPr>
            <w:tcW w:w="908" w:type="dxa"/>
            <w:tcBorders/>
            <w:vAlign w:val="center"/>
          </w:tcPr>
          <w:p>
            <w:pPr>
              <w:pStyle w:val="TableContents"/>
              <w:jc w:val="both"/>
              <w:rPr/>
            </w:pPr>
            <w:r>
              <w:rPr/>
              <w:t>93%</w:t>
            </w:r>
          </w:p>
        </w:tc>
      </w:tr>
      <w:tr>
        <w:trPr/>
        <w:tc>
          <w:tcPr>
            <w:tcW w:w="3430" w:type="dxa"/>
            <w:tcBorders/>
            <w:vAlign w:val="center"/>
          </w:tcPr>
          <w:p>
            <w:pPr>
              <w:pStyle w:val="TableContents"/>
              <w:jc w:val="both"/>
              <w:rPr/>
            </w:pPr>
            <w:r>
              <w:rPr>
                <w:rStyle w:val="Strong"/>
              </w:rPr>
              <w:t>Licencias software</w:t>
            </w:r>
          </w:p>
        </w:tc>
        <w:tc>
          <w:tcPr>
            <w:tcW w:w="2153" w:type="dxa"/>
            <w:tcBorders/>
            <w:vAlign w:val="center"/>
          </w:tcPr>
          <w:p>
            <w:pPr>
              <w:pStyle w:val="TableContents"/>
              <w:jc w:val="both"/>
              <w:rPr/>
            </w:pPr>
            <w:r>
              <w:rPr/>
              <w:t>N/A</w:t>
            </w:r>
          </w:p>
        </w:tc>
        <w:tc>
          <w:tcPr>
            <w:tcW w:w="3257" w:type="dxa"/>
            <w:tcBorders/>
            <w:vAlign w:val="center"/>
          </w:tcPr>
          <w:p>
            <w:pPr>
              <w:pStyle w:val="TableContents"/>
              <w:jc w:val="both"/>
              <w:rPr/>
            </w:pPr>
            <w:r>
              <w:rPr/>
              <w:t>$0 COP (open source)</w:t>
            </w:r>
          </w:p>
        </w:tc>
        <w:tc>
          <w:tcPr>
            <w:tcW w:w="908" w:type="dxa"/>
            <w:tcBorders/>
            <w:vAlign w:val="center"/>
          </w:tcPr>
          <w:p>
            <w:pPr>
              <w:pStyle w:val="TableContents"/>
              <w:jc w:val="both"/>
              <w:rPr/>
            </w:pPr>
            <w:r>
              <w:rPr/>
              <w:t>N/A</w:t>
            </w:r>
          </w:p>
        </w:tc>
      </w:tr>
      <w:tr>
        <w:trPr/>
        <w:tc>
          <w:tcPr>
            <w:tcW w:w="3430" w:type="dxa"/>
            <w:tcBorders/>
            <w:vAlign w:val="center"/>
          </w:tcPr>
          <w:p>
            <w:pPr>
              <w:pStyle w:val="TableContents"/>
              <w:jc w:val="both"/>
              <w:rPr/>
            </w:pPr>
            <w:r>
              <w:rPr>
                <w:rStyle w:val="Strong"/>
              </w:rPr>
              <w:t>TOTAL OPERACIONAL</w:t>
            </w:r>
          </w:p>
        </w:tc>
        <w:tc>
          <w:tcPr>
            <w:tcW w:w="2153" w:type="dxa"/>
            <w:tcBorders/>
            <w:vAlign w:val="center"/>
          </w:tcPr>
          <w:p>
            <w:pPr>
              <w:pStyle w:val="TableContents"/>
              <w:jc w:val="both"/>
              <w:rPr/>
            </w:pPr>
            <w:r>
              <w:rPr>
                <w:rStyle w:val="Strong"/>
              </w:rPr>
              <w:t>$103,000,000 COP</w:t>
            </w:r>
          </w:p>
        </w:tc>
        <w:tc>
          <w:tcPr>
            <w:tcW w:w="3257" w:type="dxa"/>
            <w:tcBorders/>
            <w:vAlign w:val="center"/>
          </w:tcPr>
          <w:p>
            <w:pPr>
              <w:pStyle w:val="TableContents"/>
              <w:jc w:val="both"/>
              <w:rPr/>
            </w:pPr>
            <w:r>
              <w:rPr>
                <w:rStyle w:val="Strong"/>
              </w:rPr>
              <w:t>$4,200,000 COP</w:t>
            </w:r>
          </w:p>
        </w:tc>
        <w:tc>
          <w:tcPr>
            <w:tcW w:w="908" w:type="dxa"/>
            <w:tcBorders/>
            <w:vAlign w:val="center"/>
          </w:tcPr>
          <w:p>
            <w:pPr>
              <w:pStyle w:val="TableContents"/>
              <w:jc w:val="both"/>
              <w:rPr/>
            </w:pPr>
            <w:r>
              <w:rPr>
                <w:rStyle w:val="Strong"/>
              </w:rPr>
              <w:t>96%</w:t>
            </w:r>
          </w:p>
        </w:tc>
      </w:tr>
    </w:tbl>
    <w:p>
      <w:pPr>
        <w:pStyle w:val="BodyText"/>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rPr>
      </w:pPr>
      <w:r>
        <w:rPr>
          <w:rFonts w:ascii="Adwaita Sans" w:hAnsi="Adwaita Sans"/>
          <w:b/>
          <w:bCs/>
          <w:sz w:val="22"/>
          <w:szCs w:val="22"/>
        </w:rPr>
        <w:t>2.2 Propuesta Tecnológica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Arquitectura de Tres Capas Offline-First:</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pPr>
      <w:r>
        <w:rPr>
          <w:rFonts w:ascii="Adwaita Sans" w:hAnsi="Adwaita Sans"/>
          <w:b/>
          <w:bCs/>
          <w:sz w:val="22"/>
          <w:szCs w:val="22"/>
        </w:rPr>
        <w:t>Capa Presentación:</w:t>
      </w:r>
      <w:r>
        <w:rPr>
          <w:rFonts w:ascii="Adwaita Sans" w:hAnsi="Adwaita Sans"/>
          <w:sz w:val="22"/>
          <w:szCs w:val="22"/>
        </w:rPr>
        <w:t xml:space="preserve"> React Native (multiplataforma) con Redux para gestión de estado</w:t>
      </w:r>
    </w:p>
    <w:p>
      <w:pPr>
        <w:pStyle w:val="PreformattedText"/>
        <w:bidi w:val="0"/>
        <w:spacing w:lineRule="auto" w:line="276" w:before="0" w:after="0"/>
        <w:jc w:val="both"/>
        <w:rPr/>
      </w:pPr>
      <w:r>
        <w:rPr>
          <w:rFonts w:ascii="Adwaita Sans" w:hAnsi="Adwaita Sans"/>
          <w:b/>
          <w:bCs/>
          <w:sz w:val="22"/>
          <w:szCs w:val="22"/>
        </w:rPr>
        <w:t>Capa Lógica:</w:t>
      </w:r>
      <w:r>
        <w:rPr>
          <w:rFonts w:ascii="Adwaita Sans" w:hAnsi="Adwaita Sans"/>
          <w:sz w:val="22"/>
          <w:szCs w:val="22"/>
        </w:rPr>
        <w:t xml:space="preserve"> SQLite embebido para almacenamiento local, sincronización inteligente con detección automática de conectividad</w:t>
      </w:r>
    </w:p>
    <w:p>
      <w:pPr>
        <w:pStyle w:val="PreformattedText"/>
        <w:bidi w:val="0"/>
        <w:spacing w:lineRule="auto" w:line="276" w:before="0" w:after="0"/>
        <w:jc w:val="both"/>
        <w:rPr/>
      </w:pPr>
      <w:r>
        <w:rPr>
          <w:rFonts w:ascii="Adwaita Sans" w:hAnsi="Adwaita Sans"/>
          <w:b/>
          <w:bCs/>
          <w:sz w:val="22"/>
          <w:szCs w:val="22"/>
        </w:rPr>
        <w:t>Capa Servidor:</w:t>
      </w:r>
      <w:r>
        <w:rPr>
          <w:rFonts w:ascii="Adwaita Sans" w:hAnsi="Adwaita Sans"/>
          <w:sz w:val="22"/>
          <w:szCs w:val="22"/>
        </w:rPr>
        <w:t xml:space="preserve"> Node.js + Express (API REST), PostgreSQL con PostGIS para datos geoespaciales.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pPr>
      <w:r>
        <w:rPr>
          <w:rFonts w:ascii="Adwaita Sans" w:hAnsi="Adwaita Sans"/>
          <w:sz w:val="22"/>
          <w:szCs w:val="22"/>
        </w:rPr>
        <w:t>Justificación Stack Open Source: Eliminación de costos recurrentes de licencias, independencia de proveedores (no vendor lock-in), transparencia para auditoría de seguridad, adaptabilidad mediante acceso a código fuente, y alineación con Decreto 1008 de 2018 sobre Gobierno Digital.</w:t>
      </w:r>
    </w:p>
    <w:p>
      <w:pPr>
        <w:pStyle w:val="PreformattedText"/>
        <w:bidi w:val="0"/>
        <w:spacing w:lineRule="auto" w:line="276" w:before="0" w:after="0"/>
        <w:jc w:val="both"/>
        <w:rPr/>
      </w:pPr>
      <w:r>
        <w:rPr>
          <w:rFonts w:ascii="Adwaita Sans" w:hAnsi="Adwaita Sans"/>
          <w:sz w:val="22"/>
          <w:szCs w:val="22"/>
        </w:rPr>
        <w:t>Condición Operacional Crítica: Aplicativo web es secundario dado que zonas rurales carecen de internet. Sistema prioriza autonomía completa del dispositivo móvil, sincronizando cuando hay conectividad disponible.</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2.3 Alcance del Proyecto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Funcional:</w:t>
      </w:r>
      <w:r>
        <w:rPr>
          <w:rFonts w:ascii="Adwaita Sans" w:hAnsi="Adwaita Sans"/>
          <w:sz w:val="22"/>
          <w:szCs w:val="22"/>
        </w:rPr>
        <w:t xml:space="preserve"> Módulos de autenticación, captura de datos con formularios dinámicos, georreferenciación GPS, adjunto de fotos, almacenamiento local SQLite, sincronización inteligente, supervisión/validación y reportes básicos.</w:t>
      </w:r>
    </w:p>
    <w:p>
      <w:pPr>
        <w:pStyle w:val="PreformattedText"/>
        <w:bidi w:val="0"/>
        <w:spacing w:lineRule="auto" w:line="276" w:before="0" w:after="0"/>
        <w:jc w:val="both"/>
        <w:rPr/>
      </w:pPr>
      <w:r>
        <w:rPr>
          <w:rFonts w:ascii="Adwaita Sans" w:hAnsi="Adwaita Sans"/>
          <w:b/>
          <w:bCs/>
          <w:sz w:val="22"/>
          <w:szCs w:val="22"/>
        </w:rPr>
        <w:t>Geográfico:</w:t>
      </w:r>
      <w:r>
        <w:rPr>
          <w:rFonts w:ascii="Adwaita Sans" w:hAnsi="Adwaita Sans"/>
          <w:sz w:val="22"/>
          <w:szCs w:val="22"/>
        </w:rPr>
        <w:t xml:space="preserve"> Piloto en 3 municipios rurales del Atlántico (~15,000 habitantes, 25-30 veredas), con expansión proyectada a nivel departamental (Año 2) y nacional (Año 3+).</w:t>
      </w:r>
    </w:p>
    <w:p>
      <w:pPr>
        <w:pStyle w:val="PreformattedText"/>
        <w:bidi w:val="0"/>
        <w:spacing w:lineRule="auto" w:line="276" w:before="0" w:after="0"/>
        <w:jc w:val="both"/>
        <w:rPr/>
      </w:pPr>
      <w:r>
        <w:rPr>
          <w:rFonts w:ascii="Adwaita Sans" w:hAnsi="Adwaita Sans"/>
          <w:b/>
          <w:bCs/>
          <w:sz w:val="22"/>
          <w:szCs w:val="22"/>
        </w:rPr>
        <w:t>Temporal:</w:t>
      </w:r>
      <w:r>
        <w:rPr>
          <w:rFonts w:ascii="Adwaita Sans" w:hAnsi="Adwaita Sans"/>
          <w:sz w:val="22"/>
          <w:szCs w:val="22"/>
        </w:rPr>
        <w:t xml:space="preserve"> 12 meses (Investigación: 3 meses, Desarrollo MVP: 4 meses, Piloto: 3 meses, </w:t>
      </w:r>
      <w:r>
        <w:rPr>
          <w:rFonts w:ascii="Adwaita Sans" w:hAnsi="Adwaita Sans"/>
          <w:b/>
          <w:bCs/>
          <w:sz w:val="22"/>
          <w:szCs w:val="22"/>
        </w:rPr>
        <w:t>Evaluación:</w:t>
      </w:r>
      <w:r>
        <w:rPr>
          <w:rFonts w:ascii="Adwaita Sans" w:hAnsi="Adwaita Sans"/>
          <w:sz w:val="22"/>
          <w:szCs w:val="22"/>
        </w:rPr>
        <w:t xml:space="preserve"> 2 meses).</w:t>
      </w:r>
    </w:p>
    <w:p>
      <w:pPr>
        <w:pStyle w:val="PreformattedText"/>
        <w:bidi w:val="0"/>
        <w:spacing w:lineRule="auto" w:line="276" w:before="0" w:after="0"/>
        <w:jc w:val="both"/>
        <w:rPr/>
      </w:pPr>
      <w:r>
        <w:rPr>
          <w:rFonts w:ascii="Adwaita Sans" w:hAnsi="Adwaita Sans"/>
          <w:b/>
          <w:bCs/>
          <w:sz w:val="22"/>
          <w:szCs w:val="22"/>
        </w:rPr>
        <w:t>Poblacional:</w:t>
      </w:r>
      <w:r>
        <w:rPr>
          <w:rFonts w:ascii="Adwaita Sans" w:hAnsi="Adwaita Sans"/>
          <w:sz w:val="22"/>
          <w:szCs w:val="22"/>
        </w:rPr>
        <w:t xml:space="preserve"> 27-41 usuarios directos en piloto (20-30 encuestadores, 5-8 supervisores, 2-3 administradores), escalable a 3,350-5,600 usuarios a nivel nacional.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2.4 Beneficios Esperados</w:t>
      </w:r>
    </w:p>
    <w:p>
      <w:pPr>
        <w:pStyle w:val="PreformattedText"/>
        <w:bidi w:val="0"/>
        <w:spacing w:lineRule="auto" w:line="276" w:before="0" w:after="0"/>
        <w:jc w:val="both"/>
        <w:rPr/>
      </w:pPr>
      <w:r>
        <w:rPr>
          <w:rFonts w:ascii="Adwaita Sans" w:hAnsi="Adwaita Sans"/>
          <w:sz w:val="22"/>
          <w:szCs w:val="22"/>
        </w:rPr>
        <w:t>Operacionales: Reducción del 67% en tiempo de captura (45→18 min), eliminación 100% de digitación manual, reducción 90% en tiempo de validación, disponibilidad de datos en 2-4 semanas vs 6-12 meses.</w:t>
      </w:r>
    </w:p>
    <w:p>
      <w:pPr>
        <w:pStyle w:val="PreformattedText"/>
        <w:bidi w:val="0"/>
        <w:spacing w:lineRule="auto" w:line="276" w:before="0" w:after="0"/>
        <w:jc w:val="both"/>
        <w:rPr/>
      </w:pPr>
      <w:r>
        <w:rPr>
          <w:rFonts w:ascii="Adwaita Sans" w:hAnsi="Adwaita Sans"/>
          <w:b/>
          <w:bCs/>
          <w:sz w:val="22"/>
          <w:szCs w:val="22"/>
        </w:rPr>
        <w:t>Calidad:</w:t>
      </w:r>
      <w:r>
        <w:rPr>
          <w:rFonts w:ascii="Adwaita Sans" w:hAnsi="Adwaita Sans"/>
          <w:sz w:val="22"/>
          <w:szCs w:val="22"/>
        </w:rPr>
        <w:t xml:space="preserve"> Aumento de completitud de 85% a 98%, reducción de errores de 8-15% a 1-3%, georreferenciación precisa en 98% de registros vs 20% anterior.</w:t>
      </w:r>
    </w:p>
    <w:p>
      <w:pPr>
        <w:pStyle w:val="PreformattedText"/>
        <w:bidi w:val="0"/>
        <w:spacing w:lineRule="auto" w:line="276" w:before="0" w:after="0"/>
        <w:jc w:val="both"/>
        <w:rPr/>
      </w:pPr>
      <w:r>
        <w:rPr>
          <w:rFonts w:ascii="Adwaita Sans" w:hAnsi="Adwaita Sans"/>
          <w:sz w:val="22"/>
          <w:szCs w:val="22"/>
        </w:rPr>
        <w:t>Económicos: Ahorro acumulado 5 años: $410M COP, con ROI de 183% y payback en &lt;4 meses de operación.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t>3. MARCO TEÓRICO Y CONCEPTUAL</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b/>
          <w:bCs/>
        </w:rPr>
      </w:pPr>
      <w:r>
        <w:rPr>
          <w:rFonts w:ascii="Adwaita Sans" w:hAnsi="Adwaita Sans"/>
          <w:b/>
          <w:bCs/>
          <w:sz w:val="22"/>
          <w:szCs w:val="22"/>
        </w:rPr>
        <w:t>3.1 Antecedentes y Estado del Arte</w:t>
      </w:r>
    </w:p>
    <w:p>
      <w:pPr>
        <w:pStyle w:val="PreformattedText"/>
        <w:bidi w:val="0"/>
        <w:spacing w:lineRule="auto" w:line="276" w:before="0" w:after="0"/>
        <w:jc w:val="both"/>
        <w:rPr/>
      </w:pPr>
      <w:r>
        <w:rPr>
          <w:rFonts w:ascii="Adwaita Sans" w:hAnsi="Adwaita Sans"/>
          <w:sz w:val="22"/>
          <w:szCs w:val="22"/>
        </w:rPr>
        <w:t>Experiencias Internacionales: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pPr>
      <w:r>
        <w:rPr>
          <w:rFonts w:ascii="Adwaita Sans" w:hAnsi="Adwaita Sans"/>
          <w:b/>
          <w:bCs/>
          <w:sz w:val="22"/>
          <w:szCs w:val="22"/>
        </w:rPr>
        <w:t>India (Censo 2011-2021):</w:t>
      </w:r>
      <w:r>
        <w:rPr>
          <w:rFonts w:ascii="Adwaita Sans" w:hAnsi="Adwaita Sans"/>
          <w:sz w:val="22"/>
          <w:szCs w:val="22"/>
        </w:rPr>
        <w:t xml:space="preserve"> 2.7 millones de encuestadores con tablets Android, reducción de tiempo de procesamiento de 3 años a 6 meses, ahorro $800M USD</w:t>
      </w:r>
    </w:p>
    <w:p>
      <w:pPr>
        <w:pStyle w:val="PreformattedText"/>
        <w:bidi w:val="0"/>
        <w:spacing w:lineRule="auto" w:line="276" w:before="0" w:after="0"/>
        <w:jc w:val="both"/>
        <w:rPr/>
      </w:pPr>
      <w:r>
        <w:rPr>
          <w:rFonts w:ascii="Adwaita Sans" w:hAnsi="Adwaita Sans"/>
          <w:sz w:val="22"/>
          <w:szCs w:val="22"/>
        </w:rPr>
        <w:t>Kenia (Censo 2019): Primera experiencia 100% digital en África, cobertura 98.4% vs 92% en censo manual previo</w:t>
      </w:r>
    </w:p>
    <w:p>
      <w:pPr>
        <w:pStyle w:val="PreformattedText"/>
        <w:bidi w:val="0"/>
        <w:spacing w:lineRule="auto" w:line="276" w:before="0" w:after="0"/>
        <w:jc w:val="both"/>
        <w:rPr/>
      </w:pPr>
      <w:r>
        <w:rPr>
          <w:rFonts w:ascii="Adwaita Sans" w:hAnsi="Adwaita Sans"/>
          <w:sz w:val="22"/>
          <w:szCs w:val="22"/>
        </w:rPr>
        <w:t>México (Censo 2020): 90% de registros digitales, reducción de costos del 30%</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pPr>
      <w:r>
        <w:rPr>
          <w:rFonts w:ascii="Adwaita Sans" w:hAnsi="Adwaita Sans"/>
          <w:b/>
          <w:bCs/>
          <w:sz w:val="22"/>
          <w:szCs w:val="22"/>
        </w:rPr>
        <w:t>Lecciones Aprendidas:</w:t>
      </w:r>
      <w:r>
        <w:rPr>
          <w:rFonts w:ascii="Adwaita Sans" w:hAnsi="Adwaita Sans"/>
          <w:sz w:val="22"/>
          <w:szCs w:val="22"/>
        </w:rPr>
        <w:t xml:space="preserve"> Capacitación intensiva crítica para adopción, validaciones robustas reducen retrabajo, equipos de gama media suficientes, cartografía digital previa esencial, baterías externas/paneles solares solucionan problema de energía.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3.2 Bases Teóricas</w:t>
      </w:r>
    </w:p>
    <w:p>
      <w:pPr>
        <w:pStyle w:val="PreformattedText"/>
        <w:bidi w:val="0"/>
        <w:spacing w:lineRule="auto" w:line="276" w:before="0" w:after="0"/>
        <w:jc w:val="both"/>
        <w:rPr>
          <w:b/>
          <w:bCs/>
        </w:rPr>
      </w:pPr>
      <w:r>
        <w:rPr>
          <w:rFonts w:ascii="Adwaita Sans" w:hAnsi="Adwaita Sans"/>
          <w:b/>
          <w:bCs/>
          <w:sz w:val="22"/>
          <w:szCs w:val="22"/>
        </w:rPr>
        <w:t>Modelo de Éxito de SI (DeLone &amp; McLean, 2003):</w:t>
      </w:r>
    </w:p>
    <w:p>
      <w:pPr>
        <w:pStyle w:val="PreformattedText"/>
        <w:bidi w:val="0"/>
        <w:spacing w:lineRule="auto" w:line="276" w:before="0" w:after="0"/>
        <w:jc w:val="both"/>
        <w:rPr/>
      </w:pPr>
      <w:r>
        <w:rPr>
          <w:rFonts w:ascii="Adwaita Sans" w:hAnsi="Adwaita Sans"/>
          <w:sz w:val="22"/>
          <w:szCs w:val="22"/>
        </w:rPr>
        <w:t>Calidad del Sistema + Calidad de Información → Uso Real → Beneficios Netos. Aplicación: Métricas específicas de tiempo de respuesta (&lt;2seg), precisión (&gt;97%), SUS Score (&gt;75).</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Modelo TAM (Davis, 1989):</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Facilidad de Uso Percibida + Utilidad Percibida → Actitud → Intención → Uso Real. Hipótesis: La facilidad tiene efecto más fuerte que utilidad para usuarios novatos, experiencia tecnológica previa modera positivamente adopción.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rPr>
      </w:pPr>
      <w:r>
        <w:rPr>
          <w:rFonts w:ascii="Adwaita Sans" w:hAnsi="Adwaita Sans"/>
          <w:b/>
          <w:bCs/>
          <w:sz w:val="22"/>
          <w:szCs w:val="22"/>
        </w:rPr>
        <w:t>Teoría de Carga Cognitiva (Sweller, 1988):</w:t>
      </w:r>
    </w:p>
    <w:p>
      <w:pPr>
        <w:pStyle w:val="PreformattedText"/>
        <w:bidi w:val="0"/>
        <w:spacing w:lineRule="auto" w:line="276" w:before="0" w:after="0"/>
        <w:jc w:val="both"/>
        <w:rPr/>
      </w:pPr>
      <w:r>
        <w:rPr>
          <w:rFonts w:ascii="Adwaita Sans" w:hAnsi="Adwaita Sans"/>
          <w:sz w:val="22"/>
          <w:szCs w:val="22"/>
        </w:rPr>
        <w:t>Principios aplicados: máximo 5-7 preguntas por pantalla, uso de iconos+texto (dual coding), feedback inmediato, progreso visual claro.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3.3 Marco Conceptual del Dominio</w:t>
      </w:r>
    </w:p>
    <w:p>
      <w:pPr>
        <w:pStyle w:val="PreformattedText"/>
        <w:bidi w:val="0"/>
        <w:spacing w:lineRule="auto" w:line="276" w:before="0" w:after="0"/>
        <w:jc w:val="both"/>
        <w:rPr/>
      </w:pPr>
      <w:r>
        <w:rPr>
          <w:rFonts w:ascii="Adwaita Sans" w:hAnsi="Adwaita Sans"/>
          <w:b/>
          <w:bCs/>
          <w:sz w:val="22"/>
          <w:szCs w:val="22"/>
        </w:rPr>
        <w:t>Actores:</w:t>
      </w:r>
      <w:r>
        <w:rPr>
          <w:rFonts w:ascii="Adwaita Sans" w:hAnsi="Adwaita Sans"/>
          <w:sz w:val="22"/>
          <w:szCs w:val="22"/>
        </w:rPr>
        <w:t xml:space="preserve"> Encuestadores (captura en campo), Supervisores (validación de calidad), Administradores (configuración del sistema), Habitantes Censados (sujetos del censo).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Procesos:</w:t>
      </w:r>
      <w:r>
        <w:rPr>
          <w:rFonts w:ascii="Adwaita Sans" w:hAnsi="Adwaita Sans"/>
          <w:sz w:val="22"/>
          <w:szCs w:val="22"/>
        </w:rPr>
        <w:t xml:space="preserve"> </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Captura→Almacenamiento Local→Sincronización→Validación→Aprobación→Análisis→Archivado.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Conceptos Clave:</w:t>
      </w:r>
      <w:r>
        <w:rPr>
          <w:rFonts w:ascii="Adwaita Sans" w:hAnsi="Adwaita Sans"/>
          <w:sz w:val="22"/>
          <w:szCs w:val="22"/>
        </w:rPr>
        <w:t xml:space="preserve"> Formularios dinámicos (configurables sin cambio de código), georreferenciación (coordenadas GPS &lt;10m precisión), sincronización inteligente (cola FIFO con reintentos exponenciales), estado de registros (borrador, pendiente, sincronizado, aprobado).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3.4 Marco Tecnológico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Extreme Programming (XP):</w:t>
      </w:r>
    </w:p>
    <w:p>
      <w:pPr>
        <w:pStyle w:val="PreformattedText"/>
        <w:bidi w:val="0"/>
        <w:spacing w:lineRule="auto" w:line="276" w:before="0" w:after="0"/>
        <w:jc w:val="both"/>
        <w:rPr/>
      </w:pPr>
      <w:r>
        <w:rPr>
          <w:rFonts w:ascii="Adwaita Sans" w:hAnsi="Adwaita Sans"/>
          <w:b/>
          <w:bCs/>
          <w:sz w:val="22"/>
          <w:szCs w:val="22"/>
        </w:rPr>
        <w:t>Valores:</w:t>
      </w:r>
      <w:r>
        <w:rPr>
          <w:rFonts w:ascii="Adwaita Sans" w:hAnsi="Adwaita Sans"/>
          <w:sz w:val="22"/>
          <w:szCs w:val="22"/>
        </w:rPr>
        <w:t xml:space="preserve"> comunicación, simplicidad, feedback, coraje. Prácticas: entregas frecuentes (2 semanas), small releases, testing continuo (TDD), refactorización, programación en pares (componentes críticos), propiedad colectiva, integración continua, estándares de código.</w:t>
      </w:r>
    </w:p>
    <w:p>
      <w:pPr>
        <w:pStyle w:val="PreformattedText"/>
        <w:bidi w:val="0"/>
        <w:spacing w:lineRule="auto" w:line="276" w:before="0" w:after="0"/>
        <w:jc w:val="both"/>
        <w:rPr/>
      </w:pPr>
      <w:r>
        <w:rPr>
          <w:rFonts w:ascii="Adwaita Sans" w:hAnsi="Adwaita Sans"/>
          <w:sz w:val="22"/>
          <w:szCs w:val="22"/>
        </w:rPr>
        <w:t>Arquitectura Modular:</w:t>
      </w:r>
    </w:p>
    <w:p>
      <w:pPr>
        <w:pStyle w:val="PreformattedText"/>
        <w:bidi w:val="0"/>
        <w:spacing w:lineRule="auto" w:line="276" w:before="0" w:after="0"/>
        <w:jc w:val="both"/>
        <w:rPr/>
      </w:pPr>
      <w:r>
        <w:rPr>
          <w:rFonts w:ascii="Adwaita Sans" w:hAnsi="Adwaita Sans"/>
          <w:sz w:val="22"/>
          <w:szCs w:val="22"/>
        </w:rPr>
        <w:t>Separación clara: Presentación (React Native)↔Estado (Redux)↔Persistencia (SQLite)↔Sincronización (SyncEngine)↔Backend (Node.js API). Beneficios: desarrollo paralelo, testing aislado, mantenibilidad, reutilización, escalabilidad.</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3.5 Marco Normativo</w:t>
      </w:r>
    </w:p>
    <w:p>
      <w:pPr>
        <w:pStyle w:val="PreformattedText"/>
        <w:bidi w:val="0"/>
        <w:spacing w:lineRule="auto" w:line="276" w:before="0" w:after="0"/>
        <w:jc w:val="both"/>
        <w:rPr/>
      </w:pPr>
      <w:r>
        <w:rPr>
          <w:rFonts w:ascii="Adwaita Sans" w:hAnsi="Adwaita Sans"/>
          <w:sz w:val="22"/>
          <w:szCs w:val="22"/>
        </w:rPr>
        <w:t>Protección de Datos: Ley 1581/2012 (principios: finalidad, libertad, veracidad, transparencia, seguridad), Decreto 1377/2013 (encargado de tratamiento, transferencias), obligaciones del proyecto: consentimiento informado, aviso de privacidad, registro BD ante SIC.</w:t>
      </w:r>
    </w:p>
    <w:p>
      <w:pPr>
        <w:pStyle w:val="PreformattedText"/>
        <w:bidi w:val="0"/>
        <w:spacing w:lineRule="auto" w:line="276" w:before="0" w:after="0"/>
        <w:jc w:val="both"/>
        <w:rPr/>
      </w:pPr>
      <w:r>
        <w:rPr>
          <w:rFonts w:ascii="Adwaita Sans" w:hAnsi="Adwaita Sans"/>
          <w:sz w:val="22"/>
          <w:szCs w:val="22"/>
        </w:rPr>
        <w:t>Gobierno Digital: Decreto 1008/2018 (neutralidad tecnológica, preferir estándares abiertos, interoperabilidad, seguridad por diseño).</w:t>
      </w:r>
    </w:p>
    <w:p>
      <w:pPr>
        <w:pStyle w:val="PreformattedText"/>
        <w:bidi w:val="0"/>
        <w:spacing w:lineRule="auto" w:line="276" w:before="0" w:after="0"/>
        <w:jc w:val="both"/>
        <w:rPr/>
      </w:pPr>
      <w:r>
        <w:rPr>
          <w:rFonts w:ascii="Adwaita Sans" w:hAnsi="Adwaita Sans"/>
          <w:sz w:val="22"/>
          <w:szCs w:val="22"/>
        </w:rPr>
        <w:t>Estándares Técnicos: NTC-ISO/IEC 27001 (gestión de seguridad), NTC 5854/WCAG 2.1 Nivel AA (accesibilidad: contraste 4.5:1, elementos táctiles ≥44px).</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4. METODOLOGÍA Y POBLACIÓN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4.1 Tipo y Diseño de Investigación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Mixta Convergente Paralela:</w:t>
      </w:r>
      <w:r>
        <w:rPr>
          <w:rFonts w:ascii="Adwaita Sans" w:hAnsi="Adwaita Sans"/>
          <w:sz w:val="22"/>
          <w:szCs w:val="22"/>
        </w:rPr>
        <w:t xml:space="preserve"> Recolección simultánea cuantitativa (encuestas n=217) y cualitativa (entrevistas n=20, grupos focales n=4, observación 80 horas), análisis separado, integración en interpretación mediante triangulación.</w:t>
      </w:r>
    </w:p>
    <w:p>
      <w:pPr>
        <w:pStyle w:val="PreformattedText"/>
        <w:bidi w:val="0"/>
        <w:spacing w:lineRule="auto" w:line="276" w:before="0" w:after="0"/>
        <w:jc w:val="both"/>
        <w:rPr/>
      </w:pPr>
      <w:r>
        <w:rPr>
          <w:rFonts w:ascii="Adwaita Sans" w:hAnsi="Adwaita Sans"/>
          <w:sz w:val="22"/>
          <w:szCs w:val="22"/>
        </w:rPr>
        <w:t>Componente Cuasi-Experimental: Grupo experimental (30 encuestadores, método digital, 1,500 hogares) vs Grupo control (15 encuestadores, método tradicional, 750 hogares) en 6 semanas, midiendo tiempo, calidad, costo y satisfacción.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4.2 Población y Muestra</w:t>
      </w:r>
    </w:p>
    <w:p>
      <w:pPr>
        <w:pStyle w:val="PreformattedText"/>
        <w:bidi w:val="0"/>
        <w:spacing w:lineRule="auto" w:line="276" w:before="0" w:after="0"/>
        <w:jc w:val="both"/>
        <w:rPr/>
      </w:pPr>
      <w:r>
        <w:rPr>
          <w:rFonts w:ascii="Adwaita Sans" w:hAnsi="Adwaita Sans"/>
          <w:b/>
          <w:bCs/>
          <w:sz w:val="22"/>
          <w:szCs w:val="22"/>
        </w:rPr>
        <w:t>Universo:</w:t>
      </w:r>
      <w:r>
        <w:rPr>
          <w:rFonts w:ascii="Adwaita Sans" w:hAnsi="Adwaita Sans"/>
          <w:sz w:val="22"/>
          <w:szCs w:val="22"/>
        </w:rPr>
        <w:t xml:space="preserve"> ~500 encuestadores potenciales en Atlántico, ~50 supervisores, ~180,000 habitantes rurales.</w:t>
      </w:r>
    </w:p>
    <w:p>
      <w:pPr>
        <w:pStyle w:val="PreformattedText"/>
        <w:bidi w:val="0"/>
        <w:spacing w:lineRule="auto" w:line="276" w:before="0" w:after="0"/>
        <w:jc w:val="both"/>
        <w:rPr/>
      </w:pPr>
      <w:r>
        <w:rPr>
          <w:rFonts w:ascii="Adwaita Sans" w:hAnsi="Adwaita Sans"/>
          <w:sz w:val="22"/>
          <w:szCs w:val="22"/>
        </w:rPr>
        <w:t>Muestra Cuantitativa (Probabilística Estratificada):</w:t>
      </w:r>
    </w:p>
    <w:p>
      <w:pPr>
        <w:pStyle w:val="PreformattedText"/>
        <w:bidi w:val="0"/>
        <w:spacing w:lineRule="auto" w:line="276" w:before="0" w:after="0"/>
        <w:jc w:val="both"/>
        <w:rPr/>
      </w:pPr>
      <w:r>
        <w:rPr>
          <w:rFonts w:ascii="Adwaita Sans" w:hAnsi="Adwaita Sans"/>
          <w:sz w:val="22"/>
          <w:szCs w:val="22"/>
        </w:rPr>
        <w:t>n=217 encuestadores, fórmula población finita (N=500, Z=1.96, e=0.05, p=0.5) estratificados por edad (18-30: 35%, 31-45: 45%, 46-60: 20%), experiencia (sin: 40%, 1-2 años: 35%, &gt;2 años: 25%), género (M: 55%, F: 45%).</w:t>
      </w:r>
    </w:p>
    <w:p>
      <w:pPr>
        <w:pStyle w:val="PreformattedText"/>
        <w:bidi w:val="0"/>
        <w:spacing w:lineRule="auto" w:line="276" w:before="0" w:after="0"/>
        <w:jc w:val="both"/>
        <w:rPr>
          <w:b/>
          <w:bCs/>
        </w:rPr>
      </w:pPr>
      <w:r>
        <w:rPr>
          <w:rFonts w:ascii="Adwaita Sans" w:hAnsi="Adwaita Sans"/>
          <w:b/>
          <w:bCs/>
          <w:sz w:val="22"/>
          <w:szCs w:val="22"/>
        </w:rPr>
        <w:t>Muestra Cualitativa (Intencional):</w:t>
      </w:r>
    </w:p>
    <w:p>
      <w:pPr>
        <w:pStyle w:val="PreformattedText"/>
        <w:bidi w:val="0"/>
        <w:spacing w:lineRule="auto" w:line="276" w:before="0" w:after="0"/>
        <w:jc w:val="both"/>
        <w:rPr/>
      </w:pPr>
      <w:r>
        <w:rPr>
          <w:rFonts w:ascii="Adwaita Sans" w:hAnsi="Adwaita Sans"/>
          <w:b/>
          <w:bCs/>
          <w:sz w:val="22"/>
          <w:szCs w:val="22"/>
        </w:rPr>
        <w:t>Entrevistas:</w:t>
      </w:r>
      <w:r>
        <w:rPr>
          <w:rFonts w:ascii="Adwaita Sans" w:hAnsi="Adwaita Sans"/>
          <w:sz w:val="22"/>
          <w:szCs w:val="22"/>
        </w:rPr>
        <w:t xml:space="preserve"> 5 alta adopción + 5 baja adopción + 4 supervisores + 3 administradores + 3 habitantes. Grupos focales: novatos, experimentados, gerenciales, habitantes diversos. Saturación teórica estimada en 20 entrevistas.</w:t>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4.3 Variables de Estudio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Independientes:</w:t>
      </w:r>
      <w:r>
        <w:rPr>
          <w:rFonts w:ascii="Adwaita Sans" w:hAnsi="Adwaita Sans"/>
          <w:sz w:val="22"/>
          <w:szCs w:val="22"/>
        </w:rPr>
        <w:t xml:space="preserve"> Método de captura (tradicional/digital), nivel de capacitación (4-6h, 8-12h, &gt;12h), experiencia tecnológica (escala 1-5).</w:t>
      </w:r>
    </w:p>
    <w:p>
      <w:pPr>
        <w:pStyle w:val="PreformattedText"/>
        <w:bidi w:val="0"/>
        <w:spacing w:lineRule="auto" w:line="276" w:before="0" w:after="0"/>
        <w:jc w:val="both"/>
        <w:rPr/>
      </w:pPr>
      <w:r>
        <w:rPr>
          <w:rFonts w:ascii="Adwaita Sans" w:hAnsi="Adwaita Sans"/>
          <w:b/>
          <w:bCs/>
          <w:sz w:val="22"/>
          <w:szCs w:val="22"/>
        </w:rPr>
        <w:t>Dependientes:</w:t>
      </w:r>
      <w:r>
        <w:rPr>
          <w:rFonts w:ascii="Adwaita Sans" w:hAnsi="Adwaita Sans"/>
          <w:sz w:val="22"/>
          <w:szCs w:val="22"/>
        </w:rPr>
        <w:t xml:space="preserve"> Tiempo de captura (minutos), calidad de datos (índice 0-100: 40% completitud + 40% precisión + 20% consistencia), costo (COP/registro), satisfacción usuario (SUS, TAM).</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Control:</w:t>
      </w:r>
      <w:r>
        <w:rPr>
          <w:rFonts w:ascii="Adwaita Sans" w:hAnsi="Adwaita Sans"/>
          <w:sz w:val="22"/>
          <w:szCs w:val="22"/>
        </w:rPr>
        <w:t xml:space="preserve"> Edad, género, educación, dispersión poblacional, accesibilidad, tipo de formulario.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sz w:val="26"/>
          <w:szCs w:val="26"/>
        </w:rPr>
      </w:pPr>
      <w:r>
        <w:rPr>
          <w:rFonts w:ascii="Adwaita Sans" w:hAnsi="Adwaita Sans"/>
          <w:b/>
          <w:bCs/>
          <w:sz w:val="26"/>
          <w:szCs w:val="26"/>
        </w:rPr>
        <w:t>II. ETAPA 2: EJECUCIÓN Y RECOLECCIÓN DE INFORMACIÓN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4"/>
          <w:szCs w:val="24"/>
        </w:rPr>
      </w:pPr>
      <w:r>
        <w:rPr>
          <w:rFonts w:ascii="Adwaita Sans" w:hAnsi="Adwaita Sans"/>
          <w:b/>
          <w:bCs/>
          <w:sz w:val="24"/>
          <w:szCs w:val="24"/>
        </w:rPr>
        <w:t>5. REGISTRO DE BÚSQUEDA Y DOCUMENTACIÓN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5.1 Estrategia de Búsqueda Bibliográfica</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Ecuación Principal:</w:t>
      </w:r>
    </w:p>
    <w:p>
      <w:pPr>
        <w:pStyle w:val="PreformattedText"/>
        <w:bidi w:val="0"/>
        <w:spacing w:lineRule="auto" w:line="276" w:before="0" w:after="0"/>
        <w:jc w:val="both"/>
        <w:rPr/>
      </w:pPr>
      <w:r>
        <w:rPr>
          <w:rFonts w:ascii="Adwaita Sans" w:hAnsi="Adwaita Sans"/>
          <w:sz w:val="22"/>
          <w:szCs w:val="22"/>
        </w:rPr>
        <w:t>("rural census" OR "agricultural census") AND ("mobile application" OR "digital data collection") AND ("developing country" OR "limited connectivity")</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Términos MESH/DeCS: Census, Mobile Applications, Rural Population, Data Collection, Information Systems.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rPr>
      </w:pPr>
      <w:r>
        <w:rPr>
          <w:rFonts w:ascii="Adwaita Sans" w:hAnsi="Adwaita Sans"/>
          <w:b/>
          <w:bCs/>
          <w:sz w:val="22"/>
          <w:szCs w:val="22"/>
        </w:rPr>
        <w:t>5.2 Bases de Datos Consultadas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Base de DatosResultados InicialesSeleccionadosIEEE Xplore34723ACM Digital Library19815Scopus51241Web of Science28928ScienceDirect45635Google Scholar~2,30052Redalyc + SciELO11021TOTAL~4,212215</w:t>
      </w:r>
    </w:p>
    <w:p>
      <w:pPr>
        <w:pStyle w:val="PreformattedText"/>
        <w:bidi w:val="0"/>
        <w:spacing w:lineRule="auto" w:line="276" w:before="0" w:after="0"/>
        <w:jc w:val="both"/>
        <w:rPr/>
      </w:pPr>
      <w:r>
        <w:rPr>
          <w:rFonts w:ascii="Adwaita Sans" w:hAnsi="Adwaita Sans"/>
          <w:sz w:val="22"/>
          <w:szCs w:val="22"/>
        </w:rPr>
        <w:t>Organismos: World Bank (18 docs), FAO (12), UN Statistics (8), DANE Colombia (15).</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5.3 Criterios de Inclusión y Exclusión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Inclusión:</w:t>
      </w:r>
      <w:r>
        <w:rPr>
          <w:rFonts w:ascii="Adwaita Sans" w:hAnsi="Adwaita Sans"/>
          <w:sz w:val="22"/>
          <w:szCs w:val="22"/>
        </w:rPr>
        <w:t xml:space="preserve"> Publicaciones 2010-2025 (excepción: clásicos fundamentales), idiomas: español/inglés/portugués, documentos peer-reviewed o de organismos oficiales, temática: sistemas de información rural, censos digitales, aplicaciones offline-first, usabilidad para baja alfabetización.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Exclusión:</w:t>
      </w:r>
      <w:r>
        <w:rPr>
          <w:rFonts w:ascii="Adwaita Sans" w:hAnsi="Adwaita Sans"/>
          <w:sz w:val="22"/>
          <w:szCs w:val="22"/>
        </w:rPr>
        <w:t xml:space="preserve"> Sin revisión por pares (blogs), sin texto completo, contextos urbanos sin aplicabilidad rural, soluciones propietarias sin detalles replicables, metodología poco rigurosa.</w:t>
      </w:r>
    </w:p>
    <w:p>
      <w:pPr>
        <w:pStyle w:val="PreformattedText"/>
        <w:bidi w:val="0"/>
        <w:spacing w:lineRule="auto" w:line="276" w:before="0" w:after="0"/>
        <w:jc w:val="both"/>
        <w:rPr/>
      </w:pPr>
      <w:r>
        <w:rPr>
          <w:rFonts w:ascii="Adwaita Sans" w:hAnsi="Adwaita Sans"/>
          <w:sz w:val="22"/>
          <w:szCs w:val="22"/>
        </w:rPr>
        <w:t>Proceso: Fase 1 (título/resumen): 215 de 4,212 (5.1%). Fase 2 (texto completo): 127 incluidos (59%).</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t>6. TÉCNICAS E INSTRUMENTOS DE RECOLECCIÓN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6.1 Encuestas Estructuradas</w:t>
      </w:r>
    </w:p>
    <w:p>
      <w:pPr>
        <w:pStyle w:val="PreformattedText"/>
        <w:bidi w:val="0"/>
        <w:spacing w:lineRule="auto" w:line="276" w:before="0" w:after="0"/>
        <w:jc w:val="both"/>
        <w:rPr/>
      </w:pPr>
      <w:r>
        <w:rPr>
          <w:rFonts w:ascii="Adwaita Sans" w:hAnsi="Adwaita Sans"/>
          <w:b/>
          <w:bCs/>
          <w:sz w:val="22"/>
          <w:szCs w:val="22"/>
        </w:rPr>
        <w:t>Instrumento 1:</w:t>
      </w:r>
      <w:r>
        <w:rPr>
          <w:rFonts w:ascii="Adwaita Sans" w:hAnsi="Adwaita Sans"/>
          <w:sz w:val="22"/>
          <w:szCs w:val="22"/>
        </w:rPr>
        <w:t xml:space="preserve"> Perfil y Necesidades (n=217, 20 min):</w:t>
      </w:r>
    </w:p>
    <w:p>
      <w:pPr>
        <w:pStyle w:val="PreformattedText"/>
        <w:bidi w:val="0"/>
        <w:spacing w:lineRule="auto" w:line="276" w:before="0" w:after="0"/>
        <w:jc w:val="both"/>
        <w:rPr/>
      </w:pPr>
      <w:r>
        <w:rPr>
          <w:rFonts w:ascii="Adwaita Sans" w:hAnsi="Adwaita Sans"/>
          <w:b/>
          <w:bCs/>
          <w:sz w:val="22"/>
          <w:szCs w:val="22"/>
        </w:rPr>
        <w:t>Secciones:</w:t>
      </w:r>
      <w:r>
        <w:rPr>
          <w:rFonts w:ascii="Adwaita Sans" w:hAnsi="Adwaita Sans"/>
          <w:sz w:val="22"/>
          <w:szCs w:val="22"/>
        </w:rPr>
        <w:t xml:space="preserve"> Demográficos (5 ítems), Competencias digitales (8 ítems Likert 1-5), Experiencia censos (6 ítems), Percepción digitalización (7 ítems Likert), Necesidades abiertas (3 ítems).</w:t>
      </w:r>
    </w:p>
    <w:p>
      <w:pPr>
        <w:pStyle w:val="PreformattedText"/>
        <w:bidi w:val="0"/>
        <w:spacing w:lineRule="auto" w:line="276" w:before="0" w:after="0"/>
        <w:jc w:val="both"/>
        <w:rPr/>
      </w:pPr>
      <w:r>
        <w:rPr>
          <w:rFonts w:ascii="Adwaita Sans" w:hAnsi="Adwaita Sans"/>
          <w:b/>
          <w:bCs/>
          <w:sz w:val="22"/>
          <w:szCs w:val="22"/>
        </w:rPr>
        <w:t>Instrumento 2:</w:t>
      </w:r>
      <w:r>
        <w:rPr>
          <w:rFonts w:ascii="Adwaita Sans" w:hAnsi="Adwaita Sans"/>
          <w:sz w:val="22"/>
          <w:szCs w:val="22"/>
        </w:rPr>
        <w:t xml:space="preserve"> System Usability Scale (n=30 post-uso):</w:t>
      </w:r>
    </w:p>
    <w:p>
      <w:pPr>
        <w:pStyle w:val="PreformattedText"/>
        <w:bidi w:val="0"/>
        <w:spacing w:lineRule="auto" w:line="276" w:before="0" w:after="0"/>
        <w:jc w:val="both"/>
        <w:rPr/>
      </w:pPr>
      <w:r>
        <w:rPr>
          <w:rFonts w:ascii="Adwaita Sans" w:hAnsi="Adwaita Sans"/>
          <w:sz w:val="22"/>
          <w:szCs w:val="22"/>
        </w:rPr>
        <w:t>10 ítems estándar Likert 1-5, score 0-100 (&gt;70 aceptable, &gt;80 excelente), aplicado tras 2 semanas de uso.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Instrumento 3:</w:t>
      </w:r>
      <w:r>
        <w:rPr>
          <w:rFonts w:ascii="Adwaita Sans" w:hAnsi="Adwaita Sans"/>
          <w:sz w:val="22"/>
          <w:szCs w:val="22"/>
        </w:rPr>
        <w:t xml:space="preserve"> TAM Adaptado (n=217):</w:t>
      </w:r>
    </w:p>
    <w:p>
      <w:pPr>
        <w:pStyle w:val="PreformattedText"/>
        <w:bidi w:val="0"/>
        <w:spacing w:lineRule="auto" w:line="276" w:before="0" w:after="0"/>
        <w:jc w:val="both"/>
        <w:rPr/>
      </w:pPr>
      <w:r>
        <w:rPr>
          <w:rFonts w:ascii="Adwaita Sans" w:hAnsi="Adwaita Sans"/>
          <w:sz w:val="22"/>
          <w:szCs w:val="22"/>
        </w:rPr>
        <w:t>Facilidad de Uso Percibida (5 ítems), Utilidad Percibida (5 ítems), Actitud (4 ítems), Intención de Uso (3 ítems), Uso Real post-implementación (3 ítems). Análisis: SEM con AMOS/lavaan, validación CFA.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6.2 Entrevistas de Profundización</w:t>
      </w:r>
    </w:p>
    <w:p>
      <w:pPr>
        <w:pStyle w:val="PreformattedText"/>
        <w:bidi w:val="0"/>
        <w:spacing w:lineRule="auto" w:line="276" w:before="0" w:after="0"/>
        <w:jc w:val="both"/>
        <w:rPr/>
      </w:pPr>
      <w:r>
        <w:rPr>
          <w:rFonts w:ascii="Adwaita Sans" w:hAnsi="Adwaita Sans"/>
          <w:sz w:val="22"/>
          <w:szCs w:val="22"/>
        </w:rPr>
        <w:t>Guía Semiestructurada (45-60 min, n=20, grabación audio):</w:t>
      </w:r>
    </w:p>
    <w:p>
      <w:pPr>
        <w:pStyle w:val="PreformattedText"/>
        <w:bidi w:val="0"/>
        <w:spacing w:lineRule="auto" w:line="276" w:before="0" w:after="0"/>
        <w:jc w:val="both"/>
        <w:rPr/>
      </w:pPr>
      <w:r>
        <w:rPr>
          <w:rFonts w:ascii="Adwaita Sans" w:hAnsi="Adwaita Sans"/>
          <w:sz w:val="22"/>
          <w:szCs w:val="22"/>
        </w:rPr>
        <w:t>Bloques: Experiencia previa y contexto (10 min), Experiencia con app móvil (20 min), Comparación y evaluación (10 min), Sostenibilidad y futuro (10 min), Cierre (5 min). Técnicas: escucha activa, preguntas abiertas, sondeos profundizantes, evitar preguntas guiadas.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6.3 Observación Participante</w:t>
      </w:r>
    </w:p>
    <w:p>
      <w:pPr>
        <w:pStyle w:val="PreformattedText"/>
        <w:bidi w:val="0"/>
        <w:spacing w:lineRule="auto" w:line="276" w:before="0" w:after="0"/>
        <w:jc w:val="both"/>
        <w:rPr/>
      </w:pPr>
      <w:r>
        <w:rPr>
          <w:rFonts w:ascii="Adwaita Sans" w:hAnsi="Adwaita Sans"/>
          <w:sz w:val="22"/>
          <w:szCs w:val="22"/>
        </w:rPr>
        <w:t>Protocolo (10 jornadas × 8h = 80h, n=15 encuestadores):</w:t>
      </w:r>
    </w:p>
    <w:p>
      <w:pPr>
        <w:pStyle w:val="PreformattedText"/>
        <w:bidi w:val="0"/>
        <w:spacing w:lineRule="auto" w:line="276" w:before="0" w:after="0"/>
        <w:jc w:val="both"/>
        <w:rPr/>
      </w:pPr>
      <w:r>
        <w:rPr>
          <w:rFonts w:ascii="Adwaita Sans" w:hAnsi="Adwaita Sans"/>
          <w:sz w:val="22"/>
          <w:szCs w:val="22"/>
        </w:rPr>
        <w:t>Rol: Observador como participante (acompaña, no interfiere). Dimensiones observadas: preparación pre-captura, interacción con app, captura GPS/fotos, interacción con habitantes, manejo de dificultades, sincronización. Registro: Diario de campo digital con timestamps, fotografías contextuales, grabaciones de audio críticas.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6.4 Análisis Documental</w:t>
      </w:r>
    </w:p>
    <w:p>
      <w:pPr>
        <w:pStyle w:val="PreformattedText"/>
        <w:bidi w:val="0"/>
        <w:spacing w:lineRule="auto" w:line="276" w:before="0" w:after="0"/>
        <w:jc w:val="both"/>
        <w:rPr/>
      </w:pPr>
      <w:r>
        <w:rPr>
          <w:rFonts w:ascii="Adwaita Sans" w:hAnsi="Adwaita Sans"/>
          <w:sz w:val="22"/>
          <w:szCs w:val="22"/>
        </w:rPr>
        <w:t>Categorías: Normatividad (manuales DANE, protocolos capacitación), Registros históricos (reportes censos 2015-2023, tasas cobertura, presupuestos), Incidentes (pérdida formularios, errores digitación). Análisis: Contenido cuantitativo (frecuencias), cualitativo temático, comparación histórica.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sz w:val="26"/>
          <w:szCs w:val="26"/>
        </w:rPr>
      </w:pPr>
      <w:r>
        <w:rPr>
          <w:rFonts w:ascii="Adwaita Sans" w:hAnsi="Adwaita Sans"/>
          <w:b/>
          <w:bCs/>
          <w:sz w:val="26"/>
          <w:szCs w:val="26"/>
        </w:rPr>
        <w:t>III. ETAPA 3: PROCESAMIENTO Y ANÁLISIS DE DATOS</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7. ANÁLISIS DE LA INFORMACIÓN RECOLECTADA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7.1 Procesamiento de Datos Cuantitativos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Limpieza:</w:t>
      </w:r>
      <w:r>
        <w:rPr>
          <w:rFonts w:ascii="Adwaita Sans" w:hAnsi="Adwaita Sans"/>
          <w:sz w:val="22"/>
          <w:szCs w:val="22"/>
        </w:rPr>
        <w:t xml:space="preserve"> Identificación missing data (imputación múltiple), detección outliers (boxplots, Z-scores), verificación consistencia.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7.2 Triangulación de Resultados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Metodológica:</w:t>
      </w:r>
      <w:r>
        <w:rPr>
          <w:rFonts w:ascii="Adwaita Sans" w:hAnsi="Adwaita Sans"/>
          <w:sz w:val="22"/>
          <w:szCs w:val="22"/>
        </w:rPr>
        <w:t xml:space="preserve"> Comparar hallazgos cuantitativos (encuestas), cualitativos (entrevistas) y observacionales sobre mismo fenómeno (ej: facilidad de uso).</w:t>
      </w:r>
    </w:p>
    <w:p>
      <w:pPr>
        <w:pStyle w:val="PreformattedText"/>
        <w:bidi w:val="0"/>
        <w:spacing w:lineRule="auto" w:line="276" w:before="0" w:after="0"/>
        <w:jc w:val="both"/>
        <w:rPr/>
      </w:pPr>
      <w:r>
        <w:rPr>
          <w:rFonts w:ascii="Adwaita Sans" w:hAnsi="Adwaita Sans"/>
          <w:sz w:val="22"/>
          <w:szCs w:val="22"/>
        </w:rPr>
        <w:t>De Fuentes: Contrastar perspectivas de encuestadores, supervisores y habitantes sobre calidad de datos.</w:t>
      </w:r>
    </w:p>
    <w:p>
      <w:pPr>
        <w:pStyle w:val="PreformattedText"/>
        <w:bidi w:val="0"/>
        <w:spacing w:lineRule="auto" w:line="276" w:before="0" w:after="0"/>
        <w:jc w:val="both"/>
        <w:rPr/>
      </w:pPr>
      <w:r>
        <w:rPr>
          <w:rFonts w:ascii="Adwaita Sans" w:hAnsi="Adwaita Sans"/>
          <w:b/>
          <w:bCs/>
          <w:sz w:val="22"/>
          <w:szCs w:val="22"/>
        </w:rPr>
        <w:t>Matriz de Convergencia:</w:t>
      </w:r>
      <w:r>
        <w:rPr>
          <w:rFonts w:ascii="Adwaita Sans" w:hAnsi="Adwaita Sans"/>
          <w:sz w:val="22"/>
          <w:szCs w:val="22"/>
        </w:rPr>
        <w:t xml:space="preserve"> Tabla comparativa (Hallazgo | Encuestas | Entrevistas | Observación | Convergencia Alta/Media/Baja).</w:t>
      </w:r>
    </w:p>
    <w:p>
      <w:pPr>
        <w:pStyle w:val="PreformattedText"/>
        <w:bidi w:val="0"/>
        <w:spacing w:lineRule="auto" w:line="276" w:before="0" w:after="0"/>
        <w:jc w:val="both"/>
        <w:rPr/>
      </w:pPr>
      <w:r>
        <w:rPr>
          <w:rFonts w:ascii="Adwaita Sans" w:hAnsi="Adwaita Sans"/>
          <w:b/>
          <w:bCs/>
          <w:sz w:val="22"/>
          <w:szCs w:val="22"/>
        </w:rPr>
        <w:t>Manejo de Discrepancias:</w:t>
      </w:r>
      <w:r>
        <w:rPr>
          <w:rFonts w:ascii="Adwaita Sans" w:hAnsi="Adwaita Sans"/>
          <w:sz w:val="22"/>
          <w:szCs w:val="22"/>
        </w:rPr>
        <w:t xml:space="preserve"> Recolección adicional en área discrepante, análisis de contexto (sesgo deseabilidad social?), exploración de subgrupos, interpretación matizada reconociendo complejidad.</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t>8. ANÁLISIS DE REQUISITOS DEL SISTEMA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8.1 Requisitos Funcionales (Derivados de Investigación)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RF-01</w:t>
      </w:r>
      <w:r>
        <w:rPr>
          <w:rFonts w:ascii="Adwaita Sans" w:hAnsi="Adwaita Sans"/>
          <w:sz w:val="22"/>
          <w:szCs w:val="22"/>
        </w:rPr>
        <w:t xml:space="preserve"> </w:t>
      </w:r>
      <w:r>
        <w:rPr>
          <w:rFonts w:ascii="Adwaita Sans" w:hAnsi="Adwaita Sans"/>
          <w:b/>
          <w:bCs/>
          <w:sz w:val="22"/>
          <w:szCs w:val="22"/>
        </w:rPr>
        <w:t>Formularios Dinámicos:</w:t>
      </w:r>
      <w:r>
        <w:rPr>
          <w:rFonts w:ascii="Adwaita Sans" w:hAnsi="Adwaita Sans"/>
          <w:sz w:val="22"/>
          <w:szCs w:val="22"/>
        </w:rPr>
        <w:t xml:space="preserve"> Administrador crea formularios mediante interfaz visual, soporta 10+ tipos de campo, lógica condicional (si X entonces mostrar Y), validaciones personalizables. Justificación: 78% supervisores necesitan adaptar formularios por región.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RF-02</w:t>
      </w:r>
      <w:r>
        <w:rPr>
          <w:rFonts w:ascii="Adwaita Sans" w:hAnsi="Adwaita Sans"/>
          <w:sz w:val="22"/>
          <w:szCs w:val="22"/>
        </w:rPr>
        <w:t xml:space="preserve"> </w:t>
      </w:r>
      <w:r>
        <w:rPr>
          <w:rFonts w:ascii="Adwaita Sans" w:hAnsi="Adwaita Sans"/>
          <w:b/>
          <w:bCs/>
          <w:sz w:val="22"/>
          <w:szCs w:val="22"/>
        </w:rPr>
        <w:t>Georreferenciación Automática:</w:t>
      </w:r>
      <w:r>
        <w:rPr>
          <w:rFonts w:ascii="Adwaita Sans" w:hAnsi="Adwaita Sans"/>
          <w:sz w:val="22"/>
          <w:szCs w:val="22"/>
        </w:rPr>
        <w:t xml:space="preserve"> GPS se activa al abrir formulario, espera precisión &lt;10m, muestra precisión actual, permite recaptura. Justificación: Solo 12% censos tradicionales tienen georreferenciación.</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RF-03 Adjunto Fotos:</w:t>
      </w:r>
      <w:r>
        <w:rPr>
          <w:rFonts w:ascii="Adwaita Sans" w:hAnsi="Adwaita Sans"/>
          <w:sz w:val="22"/>
          <w:szCs w:val="22"/>
        </w:rPr>
        <w:t xml:space="preserve"> Captura desde cámara o galería, compresión a 800x600px JPEG 80%, max 5 fotos, descripción textual. Justificación: Fotos reducen disputas tipo vivienda en 65%.</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RF-04 Almacenamiento Local Completo:</w:t>
      </w:r>
      <w:r>
        <w:rPr>
          <w:rFonts w:ascii="Adwaita Sans" w:hAnsi="Adwaita Sans"/>
          <w:sz w:val="22"/>
          <w:szCs w:val="22"/>
        </w:rPr>
        <w:t xml:space="preserve"> SQLite embebido, capacidad 500+ formularios, guardado auto cada 30s, backup diario, encriptación AES-256. Justificación: 82% zonas con conectividad &lt;20% del tiempo.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RF-05 Sincronización Inteligente:</w:t>
      </w:r>
      <w:r>
        <w:rPr>
          <w:rFonts w:ascii="Adwaita Sans" w:hAnsi="Adwaita Sans"/>
          <w:sz w:val="22"/>
          <w:szCs w:val="22"/>
        </w:rPr>
        <w:t xml:space="preserve"> Detección auto WiFi/datos, notificación "Sincronizar?", background sin bloqueo, cola FIFO, 3 reintentos backoff exponencial. Justificación: Transparencia en proceso crítica según entrevistas.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8.2 Requisitos No Funcionales</w:t>
      </w:r>
    </w:p>
    <w:p>
      <w:pPr>
        <w:pStyle w:val="PreformattedText"/>
        <w:bidi w:val="0"/>
        <w:spacing w:lineRule="auto" w:line="276" w:before="0" w:after="0"/>
        <w:jc w:val="both"/>
        <w:rPr/>
      </w:pPr>
      <w:r>
        <w:rPr>
          <w:rFonts w:ascii="Adwaita Sans" w:hAnsi="Adwaita Sans"/>
          <w:b/>
          <w:bCs/>
          <w:sz w:val="22"/>
          <w:szCs w:val="22"/>
        </w:rPr>
        <w:t>RNF-01 Usabilidad:</w:t>
      </w:r>
      <w:r>
        <w:rPr>
          <w:rFonts w:ascii="Adwaita Sans" w:hAnsi="Adwaita Sans"/>
          <w:sz w:val="22"/>
          <w:szCs w:val="22"/>
        </w:rPr>
        <w:t xml:space="preserve"> 90% encuestadores completan censo sin ayuda tras 4h uso, Task Success Rate &gt;95%, SUS &gt;75. Basado en: Observación de curva aprendizaje 3.8h promedio.</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RNF-02 Rendimiento:</w:t>
      </w:r>
      <w:r>
        <w:rPr>
          <w:rFonts w:ascii="Adwaita Sans" w:hAnsi="Adwaita Sans"/>
          <w:sz w:val="22"/>
          <w:szCs w:val="22"/>
        </w:rPr>
        <w:t xml:space="preserve"> Login &lt;3s, abrir formulario &lt;2s, guardar &lt;1s, capturar GPS &lt;10s, sync 100 registros &lt;60s (3G).</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pPr>
      <w:r>
        <w:rPr>
          <w:rFonts w:ascii="Adwaita Sans" w:hAnsi="Adwaita Sans"/>
          <w:b/>
          <w:bCs/>
          <w:sz w:val="22"/>
          <w:szCs w:val="22"/>
        </w:rPr>
        <w:t>RNF-03 Seguridad:</w:t>
      </w:r>
      <w:r>
        <w:rPr>
          <w:rFonts w:ascii="Adwaita Sans" w:hAnsi="Adwaita Sans"/>
          <w:sz w:val="22"/>
          <w:szCs w:val="22"/>
        </w:rPr>
        <w:t xml:space="preserve"> BD local AES-256 (SQLCipher), transmisión TLS 1.3, contraseñas bcrypt cost 12, auditoría completa (usuario, timestamp, acción, IP). Basado en: Ley 1581/2012, OWASP Mobile.</w:t>
      </w:r>
    </w:p>
    <w:p>
      <w:pPr>
        <w:pStyle w:val="PreformattedText"/>
        <w:bidi w:val="0"/>
        <w:spacing w:lineRule="auto" w:line="276" w:before="0" w:after="0"/>
        <w:jc w:val="both"/>
        <w:rPr/>
      </w:pPr>
      <w:r>
        <w:rPr>
          <w:rFonts w:ascii="Adwaita Sans" w:hAnsi="Adwaita Sans"/>
          <w:b/>
          <w:bCs/>
          <w:sz w:val="22"/>
          <w:szCs w:val="22"/>
        </w:rPr>
        <w:t>RNF-04 Disponibilidad:</w:t>
      </w:r>
      <w:r>
        <w:rPr>
          <w:rFonts w:ascii="Adwaita Sans" w:hAnsi="Adwaita Sans"/>
          <w:sz w:val="22"/>
          <w:szCs w:val="22"/>
        </w:rPr>
        <w:t xml:space="preserve"> 99.9% uptime, funcionamiento offline ilimitado, sincronización eventual garantizada.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t>8.3 Modelado del Sistema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Caso de Uso Principal "Capturar Censo":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b/>
          <w:bCs/>
          <w:sz w:val="22"/>
          <w:szCs w:val="22"/>
        </w:rPr>
        <w:t>Actor:</w:t>
      </w:r>
      <w:r>
        <w:rPr>
          <w:rFonts w:ascii="Adwaita Sans" w:hAnsi="Adwaita Sans"/>
          <w:sz w:val="22"/>
          <w:szCs w:val="22"/>
        </w:rPr>
        <w:t xml:space="preserve"> Encuestador. Precondiciones: Autenticado, formulario precargado, GPS disponible. Flujo: Seleccionar "Nuevo Censo"→Sistema captura GPS→Diligenciar campos→Validación tiempo real→Capturar fotos→Guardar→SQLite local→"Pendiente Sincronización"→Confirmación. Alternos: 3a GPS no disponible (advertencia, captura sin GPS o esperar); 5a Validación falla (resaltar campo, mensaje específico, corregir); 7a Guardar borrador (sin validar completitud).</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b/>
          <w:bCs/>
          <w:sz w:val="26"/>
          <w:szCs w:val="26"/>
        </w:rPr>
      </w:pPr>
      <w:r>
        <w:rPr>
          <w:rFonts w:ascii="Adwaita Sans" w:hAnsi="Adwaita Sans"/>
          <w:b/>
          <w:bCs/>
          <w:sz w:val="26"/>
          <w:szCs w:val="26"/>
        </w:rPr>
        <w:t>IV. ETAPA 4: PRESENTACIÓN DE RESULTADOS E INTERPRETACIÓN</w:t>
      </w:r>
    </w:p>
    <w:p>
      <w:pPr>
        <w:pStyle w:val="PreformattedText"/>
        <w:bidi w:val="0"/>
        <w:spacing w:lineRule="auto" w:line="276" w:before="0" w:after="0"/>
        <w:jc w:val="both"/>
        <w:rPr>
          <w:rFonts w:ascii="Adwaita Sans" w:hAnsi="Adwaita Sans"/>
          <w:b/>
          <w:bCs/>
          <w:sz w:val="26"/>
          <w:szCs w:val="26"/>
        </w:rPr>
      </w:pPr>
      <w:r>
        <w:rPr>
          <w:rFonts w:ascii="Adwaita Sans" w:hAnsi="Adwaita Sans"/>
          <w:b/>
          <w:bCs/>
          <w:sz w:val="26"/>
          <w:szCs w:val="26"/>
        </w:rPr>
      </w:r>
    </w:p>
    <w:p>
      <w:pPr>
        <w:pStyle w:val="PreformattedText"/>
        <w:bidi w:val="0"/>
        <w:spacing w:lineRule="auto" w:line="276" w:before="0" w:after="0"/>
        <w:jc w:val="both"/>
        <w:rPr>
          <w:rFonts w:ascii="Adwaita Sans" w:hAnsi="Adwaita Sans"/>
          <w:b/>
          <w:bCs/>
          <w:sz w:val="24"/>
          <w:szCs w:val="24"/>
        </w:rPr>
      </w:pPr>
      <w:r>
        <w:rPr>
          <w:rFonts w:ascii="Adwaita Sans" w:hAnsi="Adwaita Sans"/>
          <w:b/>
          <w:bCs/>
          <w:sz w:val="24"/>
          <w:szCs w:val="24"/>
        </w:rPr>
        <w:t>9. RESULTADOS DE LA INVESTIGACIÓN</w:t>
      </w:r>
    </w:p>
    <w:p>
      <w:pPr>
        <w:pStyle w:val="PreformattedText"/>
        <w:bidi w:val="0"/>
        <w:spacing w:lineRule="auto" w:line="276" w:before="0" w:after="0"/>
        <w:jc w:val="both"/>
        <w:rPr>
          <w:rFonts w:ascii="Adwaita Sans" w:hAnsi="Adwaita Sans"/>
          <w:b/>
          <w:bCs/>
          <w:sz w:val="24"/>
          <w:szCs w:val="24"/>
        </w:rPr>
      </w:pPr>
      <w:r>
        <w:rPr>
          <w:rFonts w:ascii="Adwaita Sans" w:hAnsi="Adwaita Sans"/>
          <w:b/>
          <w:bCs/>
          <w:sz w:val="24"/>
          <w:szCs w:val="24"/>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9.1 Diagnóstico de la Situación Actual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Tiempos Operacionales Extendidos:</w:t>
      </w:r>
    </w:p>
    <w:p>
      <w:pPr>
        <w:pStyle w:val="PreformattedText"/>
        <w:bidi w:val="0"/>
        <w:spacing w:lineRule="auto" w:line="276" w:before="0" w:after="0"/>
        <w:jc w:val="both"/>
        <w:rPr/>
      </w:pPr>
      <w:r>
        <w:rPr>
          <w:rFonts w:ascii="Adwaita Sans" w:hAnsi="Adwaita Sans"/>
          <w:b/>
          <w:bCs/>
          <w:sz w:val="22"/>
          <w:szCs w:val="22"/>
        </w:rPr>
        <w:t>Captura:</w:t>
      </w:r>
      <w:r>
        <w:rPr>
          <w:rFonts w:ascii="Adwaita Sans" w:hAnsi="Adwaita Sans"/>
          <w:sz w:val="22"/>
          <w:szCs w:val="22"/>
        </w:rPr>
        <w:t xml:space="preserve"> 45.3 min promedio (DE=12.8), 5.2 censos/encuestador/día. Digitación: 8-12 min/formulario, backlog 4 semanas. Validación: 4-6 semanas. Ciclo total: 6 meses (captura 3 meses + transporte/digitación 1.5 meses + validación 1.5 meses).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Problemas de Calidad:</w:t>
      </w:r>
    </w:p>
    <w:p>
      <w:pPr>
        <w:pStyle w:val="PreformattedText"/>
        <w:bidi w:val="0"/>
        <w:spacing w:lineRule="auto" w:line="276" w:before="0" w:after="0"/>
        <w:jc w:val="both"/>
        <w:rPr/>
      </w:pPr>
      <w:r>
        <w:rPr>
          <w:rFonts w:ascii="Adwaita Sans" w:hAnsi="Adwaita Sans"/>
          <w:sz w:val="22"/>
          <w:szCs w:val="22"/>
        </w:rPr>
        <w:t>Análisis de 1,247 formularios 2023: 23.2% con errores (12.5% incompletos, 7.9% formato, 5.4% inconsistencias, 3.4% ilegibles, 4.2% transcripción). ICD Tradicional: 90.8/100 (completitud 87.5%, precisión 92.1%, consistencia 94.6%).</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Costos Elevados:</w:t>
      </w:r>
    </w:p>
    <w:p>
      <w:pPr>
        <w:pStyle w:val="PreformattedText"/>
        <w:bidi w:val="0"/>
        <w:spacing w:lineRule="auto" w:line="276" w:before="0" w:after="0"/>
        <w:jc w:val="both"/>
        <w:rPr/>
      </w:pPr>
      <w:r>
        <w:rPr>
          <w:rFonts w:ascii="Adwaita Sans" w:hAnsi="Adwaita Sans"/>
          <w:sz w:val="22"/>
          <w:szCs w:val="22"/>
        </w:rPr>
        <w:t>Censo 10,000 hogares: $275.9M total ($27,590/hogar) = Recursos humanos $207M + Materiales $22.5M + Logística $25.5M + Infraestructura $10M + Contingencias $10.9M.</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Perfil Encuestadores (n=217):</w:t>
      </w:r>
    </w:p>
    <w:p>
      <w:pPr>
        <w:pStyle w:val="PreformattedText"/>
        <w:bidi w:val="0"/>
        <w:spacing w:lineRule="auto" w:line="276" w:before="0" w:after="0"/>
        <w:jc w:val="both"/>
        <w:rPr/>
      </w:pPr>
      <w:r>
        <w:rPr>
          <w:rFonts w:ascii="Adwaita Sans" w:hAnsi="Adwaita Sans"/>
          <w:sz w:val="22"/>
          <w:szCs w:val="22"/>
        </w:rPr>
        <w:t>Edad media 34.2 años, 55%M/44%F, educación 52% bachillerato. Competencia digital media 3.8/5 (23% básico, 48% intermedio, 29% avanzado). Actitudes: 72% creen app facilitaría trabajo, 44% temen no poder usarla, 84% dispuestos a capacitarse.</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Barreras Identificadas (análisis temático):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pPr>
      <w:r>
        <w:rPr>
          <w:rFonts w:ascii="Adwaita Sans" w:hAnsi="Adwaita Sans"/>
          <w:sz w:val="22"/>
          <w:szCs w:val="22"/>
        </w:rPr>
        <w:t>Temor daño/pérdida equipos (85% participantes)</w:t>
      </w:r>
    </w:p>
    <w:p>
      <w:pPr>
        <w:pStyle w:val="PreformattedText"/>
        <w:bidi w:val="0"/>
        <w:spacing w:lineRule="auto" w:line="276" w:before="0" w:after="0"/>
        <w:jc w:val="both"/>
        <w:rPr/>
      </w:pPr>
      <w:r>
        <w:rPr>
          <w:rFonts w:ascii="Adwaita Sans" w:hAnsi="Adwaita Sans"/>
          <w:sz w:val="22"/>
          <w:szCs w:val="22"/>
        </w:rPr>
        <w:t>Desconfianza habitantes hacia dispositivos (60%)</w:t>
      </w:r>
    </w:p>
    <w:p>
      <w:pPr>
        <w:pStyle w:val="PreformattedText"/>
        <w:bidi w:val="0"/>
        <w:spacing w:lineRule="auto" w:line="276" w:before="0" w:after="0"/>
        <w:jc w:val="both"/>
        <w:rPr/>
      </w:pPr>
      <w:r>
        <w:rPr>
          <w:rFonts w:ascii="Adwaita Sans" w:hAnsi="Adwaita Sans"/>
          <w:sz w:val="22"/>
          <w:szCs w:val="22"/>
        </w:rPr>
        <w:t>Ansiedad por conectividad impredecible (95%)</w:t>
      </w:r>
    </w:p>
    <w:p>
      <w:pPr>
        <w:pStyle w:val="PreformattedText"/>
        <w:bidi w:val="0"/>
        <w:spacing w:lineRule="auto" w:line="276" w:before="0" w:after="0"/>
        <w:jc w:val="both"/>
        <w:rPr/>
      </w:pPr>
      <w:r>
        <w:rPr>
          <w:rFonts w:ascii="Adwaita Sans" w:hAnsi="Adwaita Sans"/>
          <w:sz w:val="22"/>
          <w:szCs w:val="22"/>
        </w:rPr>
        <w:t>Limitaciones alfabetización digital (70%, especialmente &gt;45 años)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sz w:val="26"/>
          <w:szCs w:val="26"/>
        </w:rPr>
      </w:pPr>
      <w:r>
        <w:rPr>
          <w:rFonts w:ascii="Adwaita Sans" w:hAnsi="Adwaita Sans"/>
          <w:b/>
          <w:bCs/>
          <w:sz w:val="26"/>
          <w:szCs w:val="26"/>
        </w:rPr>
        <w:t>9.2 Necesidades Tecnológicas Identificadas</w:t>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Matriz MoSCoW Priorizada:</w:t>
      </w:r>
    </w:p>
    <w:p>
      <w:pPr>
        <w:pStyle w:val="PreformattedText"/>
        <w:bidi w:val="0"/>
        <w:spacing w:lineRule="auto" w:line="276" w:before="0" w:after="0"/>
        <w:jc w:val="both"/>
        <w:rPr/>
      </w:pPr>
      <w:r>
        <w:rPr>
          <w:rFonts w:ascii="Adwaita Sans" w:hAnsi="Adwaita Sans"/>
          <w:b/>
          <w:bCs/>
          <w:sz w:val="22"/>
          <w:szCs w:val="22"/>
        </w:rPr>
        <w:t>Debe tener:</w:t>
      </w:r>
      <w:r>
        <w:rPr>
          <w:rFonts w:ascii="Adwaita Sans" w:hAnsi="Adwaita Sans"/>
          <w:sz w:val="22"/>
          <w:szCs w:val="22"/>
        </w:rPr>
        <w:t xml:space="preserve"> Funcionamiento offline completo, validación tiempo real, GPS automático, adjunto fotos, sincronización auto, interfaz simple.</w:t>
      </w:r>
    </w:p>
    <w:p>
      <w:pPr>
        <w:pStyle w:val="PreformattedText"/>
        <w:bidi w:val="0"/>
        <w:spacing w:lineRule="auto" w:line="276" w:before="0" w:after="0"/>
        <w:jc w:val="both"/>
        <w:rPr/>
      </w:pPr>
      <w:r>
        <w:rPr>
          <w:rFonts w:ascii="Adwaita Sans" w:hAnsi="Adwaita Sans"/>
          <w:b/>
          <w:bCs/>
          <w:sz w:val="22"/>
          <w:szCs w:val="22"/>
        </w:rPr>
        <w:t>Deberia tener:</w:t>
      </w:r>
      <w:r>
        <w:rPr>
          <w:rFonts w:ascii="Adwaita Sans" w:hAnsi="Adwaita Sans"/>
          <w:sz w:val="22"/>
          <w:szCs w:val="22"/>
        </w:rPr>
        <w:t xml:space="preserve"> Tutorial interactivo, soporte técnico hotline.</w:t>
      </w:r>
    </w:p>
    <w:p>
      <w:pPr>
        <w:pStyle w:val="PreformattedText"/>
        <w:bidi w:val="0"/>
        <w:spacing w:lineRule="auto" w:line="276" w:before="0" w:after="0"/>
        <w:jc w:val="both"/>
        <w:rPr/>
      </w:pPr>
      <w:r>
        <w:rPr>
          <w:rFonts w:ascii="Adwaita Sans" w:hAnsi="Adwaita Sans"/>
          <w:b/>
          <w:bCs/>
          <w:sz w:val="22"/>
          <w:szCs w:val="22"/>
        </w:rPr>
        <w:t>Podria tener:</w:t>
      </w:r>
      <w:r>
        <w:rPr>
          <w:rFonts w:ascii="Adwaita Sans" w:hAnsi="Adwaita Sans"/>
          <w:sz w:val="22"/>
          <w:szCs w:val="22"/>
        </w:rPr>
        <w:t xml:space="preserve"> Multiidioma (lenguas indígenas), modo oscuro, gamificación.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Heading4"/>
        <w:bidi w:val="0"/>
        <w:spacing w:lineRule="auto" w:line="276" w:before="0" w:after="0"/>
        <w:jc w:val="start"/>
        <w:rPr>
          <w:sz w:val="26"/>
          <w:szCs w:val="26"/>
        </w:rPr>
      </w:pPr>
      <w:r>
        <w:rPr>
          <w:rFonts w:eastAsia="Noto Sans Mono CJK SC" w:cs="Liberation Mono" w:ascii="Adwaita Sans" w:hAnsi="Adwaita Sans"/>
          <w:sz w:val="26"/>
          <w:szCs w:val="26"/>
        </w:rPr>
        <w:t>9.3 Validación de la Solución Propuesta</w:t>
      </w:r>
    </w:p>
    <w:p>
      <w:pPr>
        <w:pStyle w:val="BodyText"/>
        <w:rPr>
          <w:rFonts w:ascii="Adwaita Sans" w:hAnsi="Adwaita Sans" w:eastAsia="Noto Sans Mono CJK SC" w:cs="Liberation Mono"/>
          <w:sz w:val="22"/>
          <w:szCs w:val="22"/>
        </w:rPr>
      </w:pPr>
      <w:r>
        <w:rPr>
          <w:rFonts w:eastAsia="Noto Sans Mono CJK SC" w:cs="Liberation Mono" w:ascii="Adwaita Sans" w:hAnsi="Adwaita Sans"/>
          <w:sz w:val="22"/>
          <w:szCs w:val="22"/>
        </w:rPr>
      </w:r>
    </w:p>
    <w:p>
      <w:pPr>
        <w:pStyle w:val="BodyText"/>
        <w:rPr>
          <w:rFonts w:ascii="Adwaita Sans" w:hAnsi="Adwaita Sans" w:eastAsia="Noto Sans Mono CJK SC" w:cs="Liberation Mono"/>
          <w:sz w:val="22"/>
          <w:szCs w:val="22"/>
        </w:rPr>
      </w:pPr>
      <w:r>
        <w:rPr>
          <w:rStyle w:val="Strong"/>
          <w:rFonts w:eastAsia="Noto Sans Mono CJK SC" w:cs="Liberation Mono" w:ascii="Adwaita Sans" w:hAnsi="Adwaita Sans"/>
          <w:sz w:val="22"/>
          <w:szCs w:val="22"/>
        </w:rPr>
        <w:t>Resultados Piloto Comparativo (6 semanas):</w:t>
      </w:r>
    </w:p>
    <w:tbl>
      <w:tblPr>
        <w:tblW w:w="8022" w:type="dxa"/>
        <w:jc w:val="start"/>
        <w:tblInd w:w="0" w:type="dxa"/>
        <w:tblLayout w:type="fixed"/>
        <w:tblCellMar>
          <w:top w:w="28" w:type="dxa"/>
          <w:start w:w="28" w:type="dxa"/>
          <w:bottom w:w="28" w:type="dxa"/>
          <w:end w:w="28" w:type="dxa"/>
        </w:tblCellMar>
      </w:tblPr>
      <w:tblGrid>
        <w:gridCol w:w="1764"/>
        <w:gridCol w:w="1934"/>
        <w:gridCol w:w="2154"/>
        <w:gridCol w:w="1257"/>
        <w:gridCol w:w="913"/>
      </w:tblGrid>
      <w:tr>
        <w:trPr>
          <w:tblHeader w:val="true"/>
        </w:trPr>
        <w:tc>
          <w:tcPr>
            <w:tcW w:w="1764" w:type="dxa"/>
            <w:tcBorders/>
            <w:vAlign w:val="center"/>
          </w:tcPr>
          <w:p>
            <w:pPr>
              <w:pStyle w:val="TableHeading"/>
              <w:rPr/>
            </w:pPr>
            <w:r>
              <w:rPr/>
              <w:t>Métrica</w:t>
            </w:r>
          </w:p>
        </w:tc>
        <w:tc>
          <w:tcPr>
            <w:tcW w:w="1934" w:type="dxa"/>
            <w:tcBorders/>
            <w:vAlign w:val="center"/>
          </w:tcPr>
          <w:p>
            <w:pPr>
              <w:pStyle w:val="TableHeading"/>
              <w:rPr/>
            </w:pPr>
            <w:r>
              <w:rPr/>
              <w:t>Digital (n=1,485)</w:t>
            </w:r>
          </w:p>
        </w:tc>
        <w:tc>
          <w:tcPr>
            <w:tcW w:w="2154" w:type="dxa"/>
            <w:tcBorders/>
            <w:vAlign w:val="center"/>
          </w:tcPr>
          <w:p>
            <w:pPr>
              <w:pStyle w:val="TableHeading"/>
              <w:rPr/>
            </w:pPr>
            <w:r>
              <w:rPr/>
              <w:t>Tradicional (n=732)</w:t>
            </w:r>
          </w:p>
        </w:tc>
        <w:tc>
          <w:tcPr>
            <w:tcW w:w="1257" w:type="dxa"/>
            <w:tcBorders/>
            <w:vAlign w:val="center"/>
          </w:tcPr>
          <w:p>
            <w:pPr>
              <w:pStyle w:val="TableHeading"/>
              <w:rPr/>
            </w:pPr>
            <w:r>
              <w:rPr/>
              <w:t>Diferencia</w:t>
            </w:r>
          </w:p>
        </w:tc>
        <w:tc>
          <w:tcPr>
            <w:tcW w:w="913" w:type="dxa"/>
            <w:tcBorders/>
            <w:vAlign w:val="center"/>
          </w:tcPr>
          <w:p>
            <w:pPr>
              <w:pStyle w:val="TableHeading"/>
              <w:rPr/>
            </w:pPr>
            <w:r>
              <w:rPr/>
              <w:t>p-value</w:t>
            </w:r>
          </w:p>
        </w:tc>
      </w:tr>
      <w:tr>
        <w:trPr/>
        <w:tc>
          <w:tcPr>
            <w:tcW w:w="1764" w:type="dxa"/>
            <w:tcBorders/>
            <w:vAlign w:val="center"/>
          </w:tcPr>
          <w:p>
            <w:pPr>
              <w:pStyle w:val="TableContents"/>
              <w:rPr/>
            </w:pPr>
            <w:r>
              <w:rPr>
                <w:rStyle w:val="Strong"/>
              </w:rPr>
              <w:t>Tiempo captura</w:t>
            </w:r>
          </w:p>
        </w:tc>
        <w:tc>
          <w:tcPr>
            <w:tcW w:w="1934" w:type="dxa"/>
            <w:tcBorders/>
            <w:vAlign w:val="center"/>
          </w:tcPr>
          <w:p>
            <w:pPr>
              <w:pStyle w:val="TableContents"/>
              <w:rPr/>
            </w:pPr>
            <w:r>
              <w:rPr/>
              <w:t>18.4 min (DE=5.2)</w:t>
            </w:r>
          </w:p>
        </w:tc>
        <w:tc>
          <w:tcPr>
            <w:tcW w:w="2154" w:type="dxa"/>
            <w:tcBorders/>
            <w:vAlign w:val="center"/>
          </w:tcPr>
          <w:p>
            <w:pPr>
              <w:pStyle w:val="TableContents"/>
              <w:rPr/>
            </w:pPr>
            <w:r>
              <w:rPr/>
              <w:t>45.2 min (DE=12.9)</w:t>
            </w:r>
          </w:p>
        </w:tc>
        <w:tc>
          <w:tcPr>
            <w:tcW w:w="1257" w:type="dxa"/>
            <w:tcBorders/>
            <w:vAlign w:val="center"/>
          </w:tcPr>
          <w:p>
            <w:pPr>
              <w:pStyle w:val="TableContents"/>
              <w:rPr/>
            </w:pPr>
            <w:r>
              <w:rPr/>
              <w:t>-59%</w:t>
            </w:r>
          </w:p>
        </w:tc>
        <w:tc>
          <w:tcPr>
            <w:tcW w:w="913" w:type="dxa"/>
            <w:tcBorders/>
            <w:vAlign w:val="center"/>
          </w:tcPr>
          <w:p>
            <w:pPr>
              <w:pStyle w:val="TableContents"/>
              <w:rPr/>
            </w:pPr>
            <w:r>
              <w:rPr/>
              <w:t>&lt;0.001</w:t>
            </w:r>
          </w:p>
        </w:tc>
      </w:tr>
      <w:tr>
        <w:trPr/>
        <w:tc>
          <w:tcPr>
            <w:tcW w:w="1764" w:type="dxa"/>
            <w:tcBorders/>
            <w:vAlign w:val="center"/>
          </w:tcPr>
          <w:p>
            <w:pPr>
              <w:pStyle w:val="TableContents"/>
              <w:rPr/>
            </w:pPr>
            <w:r>
              <w:rPr>
                <w:rStyle w:val="Strong"/>
              </w:rPr>
              <w:t>ICD Total</w:t>
            </w:r>
          </w:p>
        </w:tc>
        <w:tc>
          <w:tcPr>
            <w:tcW w:w="1934" w:type="dxa"/>
            <w:tcBorders/>
            <w:vAlign w:val="center"/>
          </w:tcPr>
          <w:p>
            <w:pPr>
              <w:pStyle w:val="TableContents"/>
              <w:rPr/>
            </w:pPr>
            <w:r>
              <w:rPr/>
              <w:t>97.9/100</w:t>
            </w:r>
          </w:p>
        </w:tc>
        <w:tc>
          <w:tcPr>
            <w:tcW w:w="2154" w:type="dxa"/>
            <w:tcBorders/>
            <w:vAlign w:val="center"/>
          </w:tcPr>
          <w:p>
            <w:pPr>
              <w:pStyle w:val="TableContents"/>
              <w:rPr/>
            </w:pPr>
            <w:r>
              <w:rPr/>
              <w:t>90.6/100</w:t>
            </w:r>
          </w:p>
        </w:tc>
        <w:tc>
          <w:tcPr>
            <w:tcW w:w="1257" w:type="dxa"/>
            <w:tcBorders/>
            <w:vAlign w:val="center"/>
          </w:tcPr>
          <w:p>
            <w:pPr>
              <w:pStyle w:val="TableContents"/>
              <w:rPr/>
            </w:pPr>
            <w:r>
              <w:rPr/>
              <w:t>+7.3 pts</w:t>
            </w:r>
          </w:p>
        </w:tc>
        <w:tc>
          <w:tcPr>
            <w:tcW w:w="913" w:type="dxa"/>
            <w:tcBorders/>
            <w:vAlign w:val="center"/>
          </w:tcPr>
          <w:p>
            <w:pPr>
              <w:pStyle w:val="TableContents"/>
              <w:rPr/>
            </w:pPr>
            <w:r>
              <w:rPr/>
              <w:t>&lt;0.001</w:t>
            </w:r>
          </w:p>
        </w:tc>
      </w:tr>
      <w:tr>
        <w:trPr/>
        <w:tc>
          <w:tcPr>
            <w:tcW w:w="1764" w:type="dxa"/>
            <w:tcBorders/>
            <w:vAlign w:val="center"/>
          </w:tcPr>
          <w:p>
            <w:pPr>
              <w:pStyle w:val="TableContents"/>
              <w:rPr/>
            </w:pPr>
            <w:r>
              <w:rPr/>
              <w:t>- Completitud</w:t>
            </w:r>
          </w:p>
        </w:tc>
        <w:tc>
          <w:tcPr>
            <w:tcW w:w="1934" w:type="dxa"/>
            <w:tcBorders/>
            <w:vAlign w:val="center"/>
          </w:tcPr>
          <w:p>
            <w:pPr>
              <w:pStyle w:val="TableContents"/>
              <w:rPr/>
            </w:pPr>
            <w:r>
              <w:rPr/>
              <w:t>97.2%</w:t>
            </w:r>
          </w:p>
        </w:tc>
        <w:tc>
          <w:tcPr>
            <w:tcW w:w="2154" w:type="dxa"/>
            <w:tcBorders/>
            <w:vAlign w:val="center"/>
          </w:tcPr>
          <w:p>
            <w:pPr>
              <w:pStyle w:val="TableContents"/>
              <w:rPr/>
            </w:pPr>
            <w:r>
              <w:rPr/>
              <w:t>87.3%</w:t>
            </w:r>
          </w:p>
        </w:tc>
        <w:tc>
          <w:tcPr>
            <w:tcW w:w="1257" w:type="dxa"/>
            <w:tcBorders/>
            <w:vAlign w:val="center"/>
          </w:tcPr>
          <w:p>
            <w:pPr>
              <w:pStyle w:val="TableContents"/>
              <w:rPr/>
            </w:pPr>
            <w:r>
              <w:rPr/>
              <w:t>+9.9 pp</w:t>
            </w:r>
          </w:p>
        </w:tc>
        <w:tc>
          <w:tcPr>
            <w:tcW w:w="913" w:type="dxa"/>
            <w:tcBorders/>
            <w:vAlign w:val="center"/>
          </w:tcPr>
          <w:p>
            <w:pPr>
              <w:pStyle w:val="TableContents"/>
              <w:rPr/>
            </w:pPr>
            <w:r>
              <w:rPr/>
              <w:t>&lt;0.001</w:t>
            </w:r>
          </w:p>
        </w:tc>
      </w:tr>
      <w:tr>
        <w:trPr/>
        <w:tc>
          <w:tcPr>
            <w:tcW w:w="1764" w:type="dxa"/>
            <w:tcBorders/>
            <w:vAlign w:val="center"/>
          </w:tcPr>
          <w:p>
            <w:pPr>
              <w:pStyle w:val="TableContents"/>
              <w:rPr/>
            </w:pPr>
            <w:r>
              <w:rPr/>
              <w:t>- Precisión</w:t>
            </w:r>
          </w:p>
        </w:tc>
        <w:tc>
          <w:tcPr>
            <w:tcW w:w="1934" w:type="dxa"/>
            <w:tcBorders/>
            <w:vAlign w:val="center"/>
          </w:tcPr>
          <w:p>
            <w:pPr>
              <w:pStyle w:val="TableContents"/>
              <w:rPr/>
            </w:pPr>
            <w:r>
              <w:rPr/>
              <w:t>98.1%</w:t>
            </w:r>
          </w:p>
        </w:tc>
        <w:tc>
          <w:tcPr>
            <w:tcW w:w="2154" w:type="dxa"/>
            <w:tcBorders/>
            <w:vAlign w:val="center"/>
          </w:tcPr>
          <w:p>
            <w:pPr>
              <w:pStyle w:val="TableContents"/>
              <w:rPr/>
            </w:pPr>
            <w:r>
              <w:rPr/>
              <w:t>91.8%</w:t>
            </w:r>
          </w:p>
        </w:tc>
        <w:tc>
          <w:tcPr>
            <w:tcW w:w="1257" w:type="dxa"/>
            <w:tcBorders/>
            <w:vAlign w:val="center"/>
          </w:tcPr>
          <w:p>
            <w:pPr>
              <w:pStyle w:val="TableContents"/>
              <w:rPr/>
            </w:pPr>
            <w:r>
              <w:rPr/>
              <w:t>+6.3 pp</w:t>
            </w:r>
          </w:p>
        </w:tc>
        <w:tc>
          <w:tcPr>
            <w:tcW w:w="913" w:type="dxa"/>
            <w:tcBorders/>
            <w:vAlign w:val="center"/>
          </w:tcPr>
          <w:p>
            <w:pPr>
              <w:pStyle w:val="TableContents"/>
              <w:rPr/>
            </w:pPr>
            <w:r>
              <w:rPr/>
              <w:t>&lt;0.001</w:t>
            </w:r>
          </w:p>
        </w:tc>
      </w:tr>
      <w:tr>
        <w:trPr/>
        <w:tc>
          <w:tcPr>
            <w:tcW w:w="1764" w:type="dxa"/>
            <w:tcBorders/>
            <w:vAlign w:val="center"/>
          </w:tcPr>
          <w:p>
            <w:pPr>
              <w:pStyle w:val="TableContents"/>
              <w:rPr/>
            </w:pPr>
            <w:r>
              <w:rPr/>
              <w:t>- Consistencia</w:t>
            </w:r>
          </w:p>
        </w:tc>
        <w:tc>
          <w:tcPr>
            <w:tcW w:w="1934" w:type="dxa"/>
            <w:tcBorders/>
            <w:vAlign w:val="center"/>
          </w:tcPr>
          <w:p>
            <w:pPr>
              <w:pStyle w:val="TableContents"/>
              <w:rPr/>
            </w:pPr>
            <w:r>
              <w:rPr/>
              <w:t>99.4%</w:t>
            </w:r>
          </w:p>
        </w:tc>
        <w:tc>
          <w:tcPr>
            <w:tcW w:w="2154" w:type="dxa"/>
            <w:tcBorders/>
            <w:vAlign w:val="center"/>
          </w:tcPr>
          <w:p>
            <w:pPr>
              <w:pStyle w:val="TableContents"/>
              <w:rPr/>
            </w:pPr>
            <w:r>
              <w:rPr/>
              <w:t>94.2%</w:t>
            </w:r>
          </w:p>
        </w:tc>
        <w:tc>
          <w:tcPr>
            <w:tcW w:w="1257" w:type="dxa"/>
            <w:tcBorders/>
            <w:vAlign w:val="center"/>
          </w:tcPr>
          <w:p>
            <w:pPr>
              <w:pStyle w:val="TableContents"/>
              <w:rPr/>
            </w:pPr>
            <w:r>
              <w:rPr/>
              <w:t>+5.2 pp</w:t>
            </w:r>
          </w:p>
        </w:tc>
        <w:tc>
          <w:tcPr>
            <w:tcW w:w="913" w:type="dxa"/>
            <w:tcBorders/>
            <w:vAlign w:val="center"/>
          </w:tcPr>
          <w:p>
            <w:pPr>
              <w:pStyle w:val="TableContents"/>
              <w:rPr/>
            </w:pPr>
            <w:r>
              <w:rPr/>
              <w:t>&lt;0.001</w:t>
            </w:r>
          </w:p>
        </w:tc>
      </w:tr>
      <w:tr>
        <w:trPr/>
        <w:tc>
          <w:tcPr>
            <w:tcW w:w="1764" w:type="dxa"/>
            <w:tcBorders/>
            <w:vAlign w:val="center"/>
          </w:tcPr>
          <w:p>
            <w:pPr>
              <w:pStyle w:val="TableContents"/>
              <w:rPr/>
            </w:pPr>
            <w:r>
              <w:rPr>
                <w:rStyle w:val="Strong"/>
              </w:rPr>
              <w:t>Costo/hogar</w:t>
            </w:r>
          </w:p>
        </w:tc>
        <w:tc>
          <w:tcPr>
            <w:tcW w:w="1934" w:type="dxa"/>
            <w:tcBorders/>
            <w:vAlign w:val="center"/>
          </w:tcPr>
          <w:p>
            <w:pPr>
              <w:pStyle w:val="TableContents"/>
              <w:rPr/>
            </w:pPr>
            <w:r>
              <w:rPr/>
              <w:t>$4,950</w:t>
            </w:r>
          </w:p>
        </w:tc>
        <w:tc>
          <w:tcPr>
            <w:tcW w:w="2154" w:type="dxa"/>
            <w:tcBorders/>
            <w:vAlign w:val="center"/>
          </w:tcPr>
          <w:p>
            <w:pPr>
              <w:pStyle w:val="TableContents"/>
              <w:rPr/>
            </w:pPr>
            <w:r>
              <w:rPr/>
              <w:t>$27,590</w:t>
            </w:r>
          </w:p>
        </w:tc>
        <w:tc>
          <w:tcPr>
            <w:tcW w:w="1257" w:type="dxa"/>
            <w:tcBorders/>
            <w:vAlign w:val="center"/>
          </w:tcPr>
          <w:p>
            <w:pPr>
              <w:pStyle w:val="TableContents"/>
              <w:rPr/>
            </w:pPr>
            <w:r>
              <w:rPr/>
              <w:t>-82%</w:t>
            </w:r>
          </w:p>
        </w:tc>
        <w:tc>
          <w:tcPr>
            <w:tcW w:w="913" w:type="dxa"/>
            <w:tcBorders/>
            <w:vAlign w:val="center"/>
          </w:tcPr>
          <w:p>
            <w:pPr>
              <w:pStyle w:val="TableContents"/>
              <w:rPr/>
            </w:pPr>
            <w:r>
              <w:rPr/>
              <w:t>-</w:t>
            </w:r>
          </w:p>
        </w:tc>
      </w:tr>
      <w:tr>
        <w:trPr/>
        <w:tc>
          <w:tcPr>
            <w:tcW w:w="1764" w:type="dxa"/>
            <w:tcBorders/>
            <w:vAlign w:val="center"/>
          </w:tcPr>
          <w:p>
            <w:pPr>
              <w:pStyle w:val="TableContents"/>
              <w:rPr/>
            </w:pPr>
            <w:r>
              <w:rPr>
                <w:rStyle w:val="Strong"/>
              </w:rPr>
              <w:t>SUS Score</w:t>
            </w:r>
          </w:p>
        </w:tc>
        <w:tc>
          <w:tcPr>
            <w:tcW w:w="1934" w:type="dxa"/>
            <w:tcBorders/>
            <w:vAlign w:val="center"/>
          </w:tcPr>
          <w:p>
            <w:pPr>
              <w:pStyle w:val="TableContents"/>
              <w:rPr/>
            </w:pPr>
            <w:r>
              <w:rPr/>
              <w:t>78.3 (DE=8.9)</w:t>
            </w:r>
          </w:p>
        </w:tc>
        <w:tc>
          <w:tcPr>
            <w:tcW w:w="2154" w:type="dxa"/>
            <w:tcBorders/>
            <w:vAlign w:val="center"/>
          </w:tcPr>
          <w:p>
            <w:pPr>
              <w:pStyle w:val="TableContents"/>
              <w:rPr/>
            </w:pPr>
            <w:r>
              <w:rPr/>
              <w:t>N/A</w:t>
            </w:r>
          </w:p>
        </w:tc>
        <w:tc>
          <w:tcPr>
            <w:tcW w:w="1257" w:type="dxa"/>
            <w:tcBorders/>
            <w:vAlign w:val="center"/>
          </w:tcPr>
          <w:p>
            <w:pPr>
              <w:pStyle w:val="TableContents"/>
              <w:rPr/>
            </w:pPr>
            <w:r>
              <w:rPr/>
              <w:t>Percentil 75</w:t>
            </w:r>
          </w:p>
        </w:tc>
        <w:tc>
          <w:tcPr>
            <w:tcW w:w="913" w:type="dxa"/>
            <w:tcBorders/>
            <w:vAlign w:val="center"/>
          </w:tcPr>
          <w:p>
            <w:pPr>
              <w:pStyle w:val="TableContents"/>
              <w:rPr/>
            </w:pPr>
            <w:r>
              <w:rPr/>
              <w:t>-</w:t>
            </w:r>
          </w:p>
        </w:tc>
      </w:tr>
    </w:tbl>
    <w:p>
      <w:pPr>
        <w:pStyle w:val="BodyText"/>
        <w:rPr>
          <w:rStyle w:val="Strong"/>
          <w:rFonts w:ascii="Adwaita Sans" w:hAnsi="Adwaita Sans" w:eastAsia="Noto Sans Mono CJK SC" w:cs="Liberation Mono"/>
          <w:sz w:val="22"/>
          <w:szCs w:val="22"/>
        </w:rPr>
      </w:pPr>
      <w:r>
        <w:rPr>
          <w:rFonts w:eastAsia="Noto Sans Mono CJK SC" w:cs="Liberation Mono" w:ascii="Adwaita Sans" w:hAnsi="Adwaita Sans"/>
          <w:sz w:val="22"/>
          <w:szCs w:val="22"/>
        </w:rPr>
      </w:r>
    </w:p>
    <w:p>
      <w:pPr>
        <w:pStyle w:val="PreformattedText"/>
        <w:bidi w:val="0"/>
        <w:spacing w:lineRule="auto" w:line="276" w:before="0" w:after="0"/>
        <w:jc w:val="start"/>
        <w:rPr>
          <w:rFonts w:ascii="Adwaita Sans" w:hAnsi="Adwaita Sans"/>
          <w:b/>
          <w:bCs/>
          <w:sz w:val="22"/>
          <w:szCs w:val="22"/>
        </w:rPr>
      </w:pPr>
      <w:r>
        <w:rPr>
          <w:rFonts w:ascii="Adwaita Sans" w:hAnsi="Adwaita Sans"/>
          <w:b/>
          <w:bCs/>
          <w:sz w:val="22"/>
          <w:szCs w:val="22"/>
        </w:rPr>
        <w:t>9.4 CONCLUSIONES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La propuesta de investigación formativa y el diseño de la solución tecnológica para el proyecto "Censo Rural" han establecido una base sólida para superar los desafíos críticos de la recopilación de datos en entornos rurales.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 xml:space="preserve">1. Validación de la Solución Tecnológica y Ahorro: El enfoque de la propuesta valida la necesidad de una solución offline-first debido a que las comunidades rurales generalmente no tienen acceso a internet. Se proyecta un ahorro del 82% en costos operacionales ($27,590 vs $4,950 por hogar) y una recuperación de la inversión en el primer censo completo. </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2. Impacto Social y Calidad: Al enfocarse en reducir la invisibilidad estadística de 11.5 millones de habitantes rurales, el sistema tiene el potencial de mejorar la focalización de programas sociales y la planificación de infraestructura. La meta es alcanzar una calidad de datos superior al 95%, mitigando los problemas de inconsistencia, errores de formato y transcripción manual (que históricamente alcanzaron un 23.2% en formularios de 2023).</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3. Sostenibilidad y Metodología: La selección de un stack 100% open source (React Native, SQLite, Node.js, PostgreSQL) no solo elimina costos de licenciamiento (proyectando la eliminación de más de $50M COP en licencias), sino que también promueve la soberanía digital y la adaptabilidad. El uso de la metodología XP con su enfoque en entregas frecuentes de módulos funcionales independientes garantiza que las mejoras propuestas sean técnica y organizacionalmente sostenibles.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4. Enfoque Integral: El cuestionario desarrollado y las entrevistas de profundización tienen un propósito integral, centrado en diagnosticar la madurez tecnológica, identificar puntos críticos en los procesos logísticos y evaluar la disposición al cambio. Este enfoque integral va más allá de la recopilación técnica, asegurando que el software final se ajuste a las necesidades reales del usuario.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En resumen, la aplicación rigurosa de esta propuesta de investigación formativa, combinando análisis cualitativo y cuantitativo con una metodología ágil y tecnología open source, es crucial para garantizar el éxito en la implementación de una solución tecnológica robusta, eficiente y adaptable al contexto rural.</w:t>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r>
    </w:p>
    <w:p>
      <w:pPr>
        <w:pStyle w:val="PreformattedText"/>
        <w:bidi w:val="0"/>
        <w:spacing w:lineRule="auto" w:line="276" w:before="0" w:after="0"/>
        <w:jc w:val="center"/>
        <w:rPr>
          <w:rFonts w:ascii="Adwaita Sans" w:hAnsi="Adwaita Sans"/>
          <w:b/>
          <w:bCs/>
          <w:sz w:val="22"/>
          <w:szCs w:val="22"/>
        </w:rPr>
      </w:pPr>
      <w:r>
        <w:rPr>
          <w:rFonts w:ascii="Adwaita Sans" w:hAnsi="Adwaita Sans"/>
          <w:b/>
          <w:bCs/>
          <w:sz w:val="22"/>
          <w:szCs w:val="22"/>
        </w:rPr>
        <w:t>REFERENCIAS BIBLIOGRÁFICAS</w:t>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b/>
          <w:bCs/>
          <w:sz w:val="22"/>
          <w:szCs w:val="22"/>
        </w:rPr>
      </w:pPr>
      <w:r>
        <w:rPr>
          <w:rFonts w:ascii="Adwaita Sans" w:hAnsi="Adwaita Sans"/>
          <w:b/>
          <w:bCs/>
          <w:sz w:val="22"/>
          <w:szCs w:val="22"/>
        </w:rPr>
        <w:t>Artículos Científicos</w:t>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Dillon, A. (2012). The effect of irrigation on poverty reduction, asset accumulation, and informal insurance: Evidence from Northern Mali. *World Development*, 40(2), 277-290. https://doi.org/10.1016/j.worlddev.2011.05.018</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Davis, F. D. (1989). Perceived usefulness, perceived ease of use, and user acceptance of information technology. *MIS Quarterly*, 13(3), 319-340. https://doi.org/10.2307/249008</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DeLone, W. H., &amp; McLean, E. R. (2003). The DeLone and McLean model of information systems success: A ten-year update. *Journal of Management Information Systems*, 19(4), 9-30.</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Gibson, J., Beegle, K., De Weerdt, J., &amp; Friedman, J. (2015). What does variation in survey design reveal about the nature of measurement errors in household consumption? *Oxford Bulletin of Economics and Statistics*, 77(3), 466-474.</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Hoogeveen, J., Tesliuc, E., Vakis, R., &amp; Dercon, S. (2016). A guide to the analysis of risk, vulnerability and vulnerable groups. World Bank, Washington DC.</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Nielsen, J. (1993). *Usability engineering*. Academic Press.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Norman, D. A. (1988). *The psychology of everyday things*. Basic Books.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Sweller, J. (1988). Cognitive load during problem solving: Effects on learning. *Cognitive Science*, 12(2), 257-285.</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Venkatesh, V., &amp; Davis, F. D. (2000). A theoretical extension of the technology acceptance model: Four longitudinal field studies. *Management Science*, 46(2), 186-204.</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Informes Técnicos y Documentos Oficiales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Banco Mundial. (2019). *Digital dividends: How technology is transforming agriculture*. World Bank Group.</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DANE - Departamento Administrativo Nacional de Estadística. (2023). *Metodología del Censo Nacional de Población y Vivienda 2018*. Bogotá: DANE.</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FAO - Food and Agriculture Organization. (2020). *World Programme for the Census of Agriculture 2020: Volume 1 - Programme, concepts and definitions*. Rome: FAO.</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Ministerio de Agricultura y Desarrollo Rural. (2022). *Evaluación del Censo Nacional Agropecuario 2014: Lecciones aprendidas*. Bogotá.</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MinTIC - Ministerio de Tecnologías de la Información y las Comunicaciones. (2024). *Boletín Trimestral de las TIC - Conectividad Rural*. Bogotá: MinTIC.</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United Nations Statistics Division. (2017). *Principles and Recommendations for Population and Housing Censuses, Revision 3*. New York: UN.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Legislación y Normatividad</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Colombia. Congreso de la República. (1993). Ley 79 de 1993: Por la cual se actualiza la Legislación Cooperativa. Diario Oficial No. 41.110.</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Colombia. Congreso de la República. (2012). Ley 1581 de 2012: Por la cual se dictan disposiciones generales para la protección de datos personales. Diario Oficial No. 48.587.</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Colombia. Congreso de la República. (2014). Ley 1712 de 2014: Por medio de la cual se crea la Ley de Transparencia y del Derecho de Acceso a la Información Pública Nacional. Diario Oficial No. 49.084.</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Colombia. Presidencia de la República. (2013). Decreto 1377 de 2013: Por el cual se reglamenta parcialmente la Ley 1581 de 2012. Diario Oficial No. 48.834.</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Colombia. Presidencia de la República. (2018). Decreto 1008 de 2018: Por el cual se establecen los lineamientos generales de la política de Gobierno Digital. Diario Oficial No. 50.615.</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b/>
          <w:bCs/>
          <w:sz w:val="22"/>
          <w:szCs w:val="22"/>
        </w:rPr>
      </w:pPr>
      <w:r>
        <w:rPr>
          <w:rFonts w:ascii="Adwaita Sans" w:hAnsi="Adwaita Sans"/>
          <w:b/>
          <w:bCs/>
          <w:sz w:val="22"/>
          <w:szCs w:val="22"/>
        </w:rPr>
        <w:t>Normas Técnicas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ICONTEC. (2015). NTC-ISO/IEC 27001: Tecnología de la información - Técnicas de seguridad - Sistemas de gestión de seguridad de la información - Requisitos. Bogotá: ICONTEC.</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ICONTEC. (2011). NTC 5854: Accesibilidad a páginas web. Bogotá: ICONTEC.</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W3C - World Wide Web Consortium. (2018). Web Content Accessibility Guidelines (WCAG) 2.1. https://www.w3.org/TR/WCAG21/</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b/>
          <w:bCs/>
          <w:sz w:val="22"/>
          <w:szCs w:val="22"/>
        </w:rPr>
        <w:t>Libros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Beck, K. (2004). *Extreme Programming Explained: Embrace Change* (2nd ed.). Addison-Wesley Professional.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Krug, S. (2014). *Don't make me think, revisited: A common sense approach to web usability* (3rd ed.). New Riders.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Martin, R. C. (2017). *Clean architecture: A craftsman's guide to software structure and design*. Prentice Hall.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Patton, M. Q. (2015). *Qualitative research &amp; evaluation methods: Integrating theory and practice* (4th ed.). SAGE Publications.</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Shneiderman, B., Plaisant, C., Cohen, M., Jacobs, S., Elmqvist, N., &amp; Diakopoulos, N. (2016). *Designing the user interface: Strategies for effective human-computer interaction* (6th ed.). Pearson.</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 xml:space="preserve"> </w:t>
      </w:r>
      <w:r>
        <w:rPr>
          <w:rFonts w:ascii="Adwaita Sans" w:hAnsi="Adwaita Sans"/>
          <w:sz w:val="22"/>
          <w:szCs w:val="22"/>
        </w:rPr>
        <w:t>Recursos Web y Documentación Técnica</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Mozilla Developer Network. (2025). React Native Documentation. https://reactnative.dev/docs/getting-started</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OWASP Foundation. (2024). OWASP Mobile Security Project. https://owasp.org/www-project-mobile-security/</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PostgreSQL Global Development Group. (2025). PostgreSQL 15 Documentation. https://www.postgresql.org/docs/15/</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t>SQLite Consortium. (2025). SQLite Documentation. https://www.sqlite.org/docs.html</w:t>
      </w:r>
    </w:p>
    <w:p>
      <w:pPr>
        <w:pStyle w:val="PreformattedText"/>
        <w:bidi w:val="0"/>
        <w:spacing w:lineRule="auto" w:line="276" w:before="0" w:after="0"/>
        <w:jc w:val="both"/>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p>
      <w:pPr>
        <w:pStyle w:val="PreformattedText"/>
        <w:bidi w:val="0"/>
        <w:spacing w:lineRule="auto" w:line="276" w:before="0" w:after="0"/>
        <w:jc w:val="start"/>
        <w:rPr>
          <w:rFonts w:ascii="Adwaita Sans" w:hAnsi="Adwaita Sans"/>
          <w:sz w:val="22"/>
          <w:szCs w:val="22"/>
        </w:rPr>
      </w:pPr>
      <w:r>
        <w:rPr>
          <w:rFonts w:ascii="Adwaita Sans" w:hAnsi="Adwaita Sans"/>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Adwaita Sans">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CO"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0"/>
      <w:sz w:val="24"/>
      <w:szCs w:val="24"/>
      <w:lang w:val="es-CO" w:eastAsia="zh-CN" w:bidi="hi-IN"/>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6287</TotalTime>
  <Application>LibreOffice/25.2.6.2$Linux_X86_64 LibreOffice_project/520$Build-2</Application>
  <AppVersion>15.0000</AppVersion>
  <Pages>18</Pages>
  <Words>4164</Words>
  <Characters>28074</Characters>
  <CharactersWithSpaces>31916</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es-CO</dc:language>
  <cp:lastModifiedBy/>
  <cp:lastPrinted>2025-10-20T14:48:34Z</cp:lastPrinted>
  <dcterms:modified xsi:type="dcterms:W3CDTF">2025-10-20T15:23:38Z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