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40" w:after="120"/>
        <w:jc w:val="center"/>
        <w:rPr>
          <w:rFonts w:ascii="Adwaita Sans" w:hAnsi="Adwaita Sans" w:eastAsia="Noto Sans Mono CJK SC" w:cs="Liberation Mono"/>
          <w:b/>
          <w:bCs/>
          <w:sz w:val="36"/>
          <w:szCs w:val="36"/>
        </w:rPr>
      </w:pPr>
      <w:r>
        <w:rPr>
          <w:rFonts w:eastAsia="Noto Sans Mono CJK SC" w:cs="Liberation Mono" w:ascii="Adwaita Sans" w:hAnsi="Adwaita Sans"/>
          <w:b/>
          <w:bCs/>
          <w:sz w:val="36"/>
          <w:szCs w:val="36"/>
        </w:rPr>
        <w:t xml:space="preserve">Creación de Objetos de Base de Datos No Relacional del Proyecto </w:t>
      </w:r>
    </w:p>
    <w:p>
      <w:pPr>
        <w:pStyle w:val="BodyText"/>
        <w:spacing w:before="240" w:after="120"/>
        <w:jc w:val="center"/>
        <w:rPr>
          <w:rFonts w:ascii="Adwaita Sans" w:hAnsi="Adwaita Sans" w:eastAsia="Noto Sans Mono CJK SC" w:cs="Liberation Mono"/>
          <w:b/>
          <w:bCs/>
          <w:sz w:val="36"/>
          <w:szCs w:val="36"/>
        </w:rPr>
      </w:pPr>
      <w:r>
        <w:rPr>
          <w:rFonts w:eastAsia="Noto Sans Mono CJK SC" w:cs="Liberation Mono" w:ascii="Adwaita Sans" w:hAnsi="Adwaita Sans"/>
          <w:b/>
          <w:bCs/>
          <w:sz w:val="36"/>
          <w:szCs w:val="36"/>
        </w:rPr>
        <w:t>"Censo Rural"</w:t>
      </w:r>
    </w:p>
    <w:p>
      <w:pPr>
        <w:pStyle w:val="BodyText"/>
        <w:spacing w:lineRule="auto" w:line="360" w:before="0" w:after="283"/>
        <w:jc w:val="center"/>
        <w:rPr/>
      </w:pPr>
      <w:r>
        <w:rPr>
          <w:b/>
          <w:bCs/>
          <w:i/>
          <w:iCs/>
          <w:sz w:val="36"/>
          <w:szCs w:val="36"/>
        </w:rPr>
        <w:t>Creación de colecciones y esquemas de seguridad en base de datos NoSQL</w:t>
      </w:r>
      <w:r>
        <w:rPr>
          <w:b/>
          <w:bCs/>
          <w:sz w:val="36"/>
          <w:szCs w:val="36"/>
        </w:rPr>
        <w:br/>
      </w:r>
      <w:r>
        <w:rPr>
          <w:rFonts w:eastAsia="Noto Sans Mono CJK SC" w:cs="Liberation Mono" w:ascii="Adwaita Sans" w:hAnsi="Adwaita Sans"/>
          <w:b/>
          <w:bCs/>
          <w:sz w:val="36"/>
          <w:szCs w:val="36"/>
        </w:rPr>
        <w:t xml:space="preserve"> GA6-220501096-AA1-EV03</w:t>
      </w:r>
      <w:bookmarkStart w:id="0" w:name="__DdeLink__484_3751743897"/>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66040</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08_1991315243"/>
      <w:bookmarkStart w:id="3" w:name="__DdeLink__312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both"/>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Introducción</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presente documento técnico desarrolla la creación de los objetos de base de datos para el proyecto "Censo Rural" utilizando un enfoque </w:t>
      </w:r>
      <w:r>
        <w:rPr>
          <w:rStyle w:val="Strong"/>
          <w:rFonts w:eastAsia="Noto Sans Mono CJK SC" w:cs="Liberation Mono" w:ascii="Adwaita Sans" w:hAnsi="Adwaita Sans"/>
          <w:sz w:val="22"/>
          <w:szCs w:val="22"/>
        </w:rPr>
        <w:t>no relacional (NoSQL)</w:t>
      </w:r>
      <w:r>
        <w:rPr>
          <w:rFonts w:eastAsia="Noto Sans Mono CJK SC" w:cs="Liberation Mono" w:ascii="Adwaita Sans" w:hAnsi="Adwaita Sans"/>
          <w:sz w:val="22"/>
          <w:szCs w:val="22"/>
        </w:rPr>
        <w:t>, específicamente empleando MongoDB como motor de base de datos orientado a documentos. Esta arquitectura NoSQL ofrece ventajas significativas para el contexto rural del proyecto, incluyendo flexibilidad en la estructura de datos, escalabilidad horizontal y operación eficiente en entornos distribuidos con conectividad intermitente.</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 diferencia del modelo relacional tradicional con tablas rígidas, el modelo NoSQL basado en documentos permite almacenar información en estructuras JSON flexibles (documentos BSON en MongoDB), facilitando la adaptación a diferentes tipos de censos sin modificar el esquema de base de datos. Esta característica es fundamental para un proyecto de censo rural donde los formularios pueden evolucionar y variar según las necesidades específicas de cada región.</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diseño implementa esquemas de seguridad robustos adaptados al paradigma NoSQL, incluyendo validación de esquemas, índices únicos, encriptación a nivel de documento y control de acceso basado en roles. La arquitectura propuesta cumple con los requisitos establecidos en la evidencia GA6-220501096-AA1-EV03, garantizando la integridad, seguridad y funcionalidad del sistema de recolección de datos personales en zonas rurales apartadas, todo ello bajo el marco legal de la Ley 1581 de 2012 de protección de datos personales en Colombia.</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 Fundamentos de Bases de Datos No Relacionales para Censo Rural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1.1 Ventajas del Modelo NoSQL para el Proyecto</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enfoque no relacional ofrece beneficios específicos para el contexto del censo rural que justifican su adopción frente al modelo relacional tradicional.</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Flexibilidad de Esquema:</w:t>
      </w:r>
      <w:r>
        <w:rPr>
          <w:rFonts w:eastAsia="Noto Sans Mono CJK SC" w:cs="Liberation Mono" w:ascii="Adwaita Sans" w:hAnsi="Adwaita Sans"/>
          <w:sz w:val="22"/>
          <w:szCs w:val="22"/>
        </w:rPr>
        <w:t xml:space="preserve"> Los documentos NoSQL no requieren una estructura rígida predefinida. En el censo rural, diferentes regiones pueden requerir campos adicionales específicos (por ejemplo, información sobre cultivos en zonas agrícolas o datos de pesca en zonas costeras) sin necesidad de modificar el esquema global de la base de datos. Esta flexibilidad permite que el sistema evolucione con los requerimientos cambiantes del censo.</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Operación Offline Optimizada:</w:t>
      </w:r>
      <w:r>
        <w:rPr>
          <w:rFonts w:eastAsia="Noto Sans Mono CJK SC" w:cs="Liberation Mono" w:ascii="Adwaita Sans" w:hAnsi="Adwaita Sans"/>
          <w:sz w:val="22"/>
          <w:szCs w:val="22"/>
        </w:rPr>
        <w:t xml:space="preserve"> MongoDB permite sincronización de réplicas y operación desconectada mediante Realm/Sync, ideal para encuestadores trabajando en zonas sin conectividad. Los datos capturados offline se sincronizan automáticamente cuando hay conexión disponible, resolviendo uno de los mayores desafíos del censo rural.</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Escalabilidad Horizontal:</w:t>
      </w:r>
      <w:r>
        <w:rPr>
          <w:rFonts w:eastAsia="Noto Sans Mono CJK SC" w:cs="Liberation Mono" w:ascii="Adwaita Sans" w:hAnsi="Adwaita Sans"/>
          <w:sz w:val="22"/>
          <w:szCs w:val="22"/>
        </w:rPr>
        <w:t xml:space="preserve"> A medida que el censo se expande a más regiones, el modelo NoSQL permite agregar servidores adicionales (sharding) distribuyendo la carga de forma transparente, sin las limitaciones de escalabilidad vertical típicas de bases de datos relacionales.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Rendimiento en Lecturas y Escrituras:</w:t>
      </w:r>
      <w:r>
        <w:rPr>
          <w:rFonts w:eastAsia="Noto Sans Mono CJK SC" w:cs="Liberation Mono" w:ascii="Adwaita Sans" w:hAnsi="Adwaita Sans"/>
          <w:sz w:val="22"/>
          <w:szCs w:val="22"/>
        </w:rPr>
        <w:t xml:space="preserve"> Las operaciones de lectura/escritura en documentos completos son más rápidas que las operaciones con múltiples JOINs en bases relacionales, mejorando la experiencia del encuestador en campo al capturar y consultar datos.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1.2 Arquitectura de Datos Basada en Documentos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En el modelo no relacional, cada entidad del sistema se representa como una </w:t>
      </w:r>
      <w:r>
        <w:rPr>
          <w:rStyle w:val="Strong"/>
          <w:rFonts w:eastAsia="Noto Sans Mono CJK SC" w:cs="Liberation Mono" w:ascii="Adwaita Sans" w:hAnsi="Adwaita Sans"/>
          <w:sz w:val="22"/>
          <w:szCs w:val="22"/>
        </w:rPr>
        <w:t>colección</w:t>
      </w:r>
      <w:r>
        <w:rPr>
          <w:rFonts w:eastAsia="Noto Sans Mono CJK SC" w:cs="Liberation Mono" w:ascii="Adwaita Sans" w:hAnsi="Adwaita Sans"/>
          <w:sz w:val="22"/>
          <w:szCs w:val="22"/>
        </w:rPr>
        <w:t xml:space="preserve"> de </w:t>
      </w:r>
      <w:r>
        <w:rPr>
          <w:rStyle w:val="Strong"/>
          <w:rFonts w:eastAsia="Noto Sans Mono CJK SC" w:cs="Liberation Mono" w:ascii="Adwaita Sans" w:hAnsi="Adwaita Sans"/>
          <w:sz w:val="22"/>
          <w:szCs w:val="22"/>
        </w:rPr>
        <w:t>documentos JSON</w:t>
      </w:r>
      <w:r>
        <w:rPr>
          <w:rFonts w:eastAsia="Noto Sans Mono CJK SC" w:cs="Liberation Mono" w:ascii="Adwaita Sans" w:hAnsi="Adwaita Sans"/>
          <w:sz w:val="22"/>
          <w:szCs w:val="22"/>
        </w:rPr>
        <w:t>. A diferencia de las filas en tablas relacionales, cada documento puede tener una estructura ligeramente diferente, permitiendo representar entidades complejas con subdocumentos anidados y arrays.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Ejemplo conceptual de documento:</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93573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3935730"/>
                    </a:xfrm>
                    <a:prstGeom prst="rect">
                      <a:avLst/>
                    </a:prstGeom>
                    <a:noFill/>
                  </pic:spPr>
                </pic:pic>
              </a:graphicData>
            </a:graphic>
          </wp:anchor>
        </w:drawing>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 estructura permite:</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Desnormalización estratégica:</w:t>
      </w:r>
      <w:r>
        <w:rPr>
          <w:rFonts w:eastAsia="Noto Sans Mono CJK SC" w:cs="Liberation Mono" w:ascii="Adwaita Sans" w:hAnsi="Adwaita Sans"/>
          <w:sz w:val="22"/>
          <w:szCs w:val="22"/>
        </w:rPr>
        <w:t xml:space="preserve"> Almacenar datos relacionados en un solo documento reduce la necesidad de operaciones JOIN </w:t>
      </w:r>
    </w:p>
    <w:p>
      <w:pPr>
        <w:pStyle w:val="BodyText"/>
        <w:numPr>
          <w:ilvl w:val="0"/>
          <w:numId w:val="2"/>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Atomicidad a nivel de documento:</w:t>
      </w:r>
      <w:r>
        <w:rPr>
          <w:rFonts w:eastAsia="Noto Sans Mono CJK SC" w:cs="Liberation Mono" w:ascii="Adwaita Sans" w:hAnsi="Adwaita Sans"/>
          <w:sz w:val="22"/>
          <w:szCs w:val="22"/>
        </w:rPr>
        <w:t xml:space="preserve"> Las actualizaciones de un documento completo son atómicas </w:t>
      </w:r>
    </w:p>
    <w:p>
      <w:pPr>
        <w:pStyle w:val="BodyText"/>
        <w:numPr>
          <w:ilvl w:val="0"/>
          <w:numId w:val="2"/>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Representación natural:</w:t>
      </w:r>
      <w:r>
        <w:rPr>
          <w:rFonts w:eastAsia="Noto Sans Mono CJK SC" w:cs="Liberation Mono" w:ascii="Adwaita Sans" w:hAnsi="Adwaita Sans"/>
          <w:sz w:val="22"/>
          <w:szCs w:val="22"/>
        </w:rPr>
        <w:t xml:space="preserve"> Los datos se modelan como objetos JSON, coincidiendo con la forma en que las aplicaciones modernas manejan datos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 Definición de Esquemas de Seguridad e Integridad en NoSQL</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Aunque las bases de datos NoSQL son "sin esquema" (schema-less), MongoDB y otros motores modernos permiten implementar </w:t>
      </w:r>
      <w:r>
        <w:rPr>
          <w:rStyle w:val="Strong"/>
          <w:rFonts w:eastAsia="Noto Sans Mono CJK SC" w:cs="Liberation Mono" w:ascii="Adwaita Sans" w:hAnsi="Adwaita Sans"/>
          <w:sz w:val="22"/>
          <w:szCs w:val="22"/>
        </w:rPr>
        <w:t>validación de esquemas</w:t>
      </w:r>
      <w:r>
        <w:rPr>
          <w:rFonts w:eastAsia="Noto Sans Mono CJK SC" w:cs="Liberation Mono" w:ascii="Adwaita Sans" w:hAnsi="Adwaita Sans"/>
          <w:sz w:val="22"/>
          <w:szCs w:val="22"/>
        </w:rPr>
        <w:t xml:space="preserve"> y restricciones de integridad para garantizar la calidad y seguridad de los datos.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2.1 Validación de Esquemas con JSON Schema</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MongoDB permite definir reglas de validación usando JSON Schema que verifican la estructura y tipos de datos de cada documento insertado o actualizado. Esta validación actúa como una capa de seguridad que previene datos inconsistentes.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Características de la validación:</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Obligatoriedad de campos:</w:t>
      </w:r>
      <w:r>
        <w:rPr>
          <w:rFonts w:eastAsia="Noto Sans Mono CJK SC" w:cs="Liberation Mono" w:ascii="Adwaita Sans" w:hAnsi="Adwaita Sans"/>
          <w:sz w:val="22"/>
          <w:szCs w:val="22"/>
        </w:rPr>
        <w:t xml:space="preserve"> Especificar campos requeridos (required)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Tipos de datos:</w:t>
      </w:r>
      <w:r>
        <w:rPr>
          <w:rFonts w:eastAsia="Noto Sans Mono CJK SC" w:cs="Liberation Mono" w:ascii="Adwaita Sans" w:hAnsi="Adwaita Sans"/>
          <w:sz w:val="22"/>
          <w:szCs w:val="22"/>
        </w:rPr>
        <w:t xml:space="preserve"> Validar que cada campo tenga el tipo correcto (string, number, date, etc.) </w:t>
      </w:r>
    </w:p>
    <w:p>
      <w:pPr>
        <w:pStyle w:val="BodyText"/>
        <w:numPr>
          <w:ilvl w:val="0"/>
          <w:numId w:val="3"/>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Patrones y rangos:</w:t>
      </w:r>
      <w:r>
        <w:rPr>
          <w:rFonts w:eastAsia="Noto Sans Mono CJK SC" w:cs="Liberation Mono" w:ascii="Adwaita Sans" w:hAnsi="Adwaita Sans"/>
          <w:sz w:val="22"/>
          <w:szCs w:val="22"/>
        </w:rPr>
        <w:t xml:space="preserve"> Validar formatos (email, teléfono) y rangos numéricos </w:t>
      </w:r>
    </w:p>
    <w:p>
      <w:pPr>
        <w:pStyle w:val="BodyText"/>
        <w:numPr>
          <w:ilvl w:val="0"/>
          <w:numId w:val="3"/>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Enumeraciones:</w:t>
      </w:r>
      <w:r>
        <w:rPr>
          <w:rFonts w:eastAsia="Noto Sans Mono CJK SC" w:cs="Liberation Mono" w:ascii="Adwaita Sans" w:hAnsi="Adwaita Sans"/>
          <w:sz w:val="22"/>
          <w:szCs w:val="22"/>
        </w:rPr>
        <w:t xml:space="preserve"> Restringir valores a opciones predefinidas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2.2 Integridad Referencial en NoSQL</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 diferencia del modelo relacional con claves foráneas automáticas, en NoSQL la integridad referencial se implementa mediante:</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Referencias por ID:</w:t>
      </w:r>
      <w:r>
        <w:rPr>
          <w:rFonts w:eastAsia="Noto Sans Mono CJK SC" w:cs="Liberation Mono" w:ascii="Adwaita Sans" w:hAnsi="Adwaita Sans"/>
          <w:sz w:val="22"/>
          <w:szCs w:val="22"/>
        </w:rPr>
        <w:t xml:space="preserve"> Almacenar ObjectId de documentos relacionados, similar a foreign keys pero sin validación automática por el motor de base de datos. La aplicación debe verificar la existencia de referencias.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Documentos Embebidos:</w:t>
      </w:r>
      <w:r>
        <w:rPr>
          <w:rFonts w:eastAsia="Noto Sans Mono CJK SC" w:cs="Liberation Mono" w:ascii="Adwaita Sans" w:hAnsi="Adwaita Sans"/>
          <w:sz w:val="22"/>
          <w:szCs w:val="22"/>
        </w:rPr>
        <w:t xml:space="preserve"> Para relaciones uno-a-muchos con datos que siempre se consultan juntos, se pueden embeber subdocumentos, eliminando la necesidad de referencias externas.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Transacciones Multi-Documento:</w:t>
      </w:r>
      <w:r>
        <w:rPr>
          <w:rFonts w:eastAsia="Noto Sans Mono CJK SC" w:cs="Liberation Mono" w:ascii="Adwaita Sans" w:hAnsi="Adwaita Sans"/>
          <w:sz w:val="22"/>
          <w:szCs w:val="22"/>
        </w:rPr>
        <w:t xml:space="preserve"> MongoDB 4.0+ soporta transacciones ACID que abarcan múltiples documentos y colecciones, permitiendo operaciones complejas con garantías de consistencia.</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2.3 Unicidad de Datos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índices únicos en MongoDB garantizan que no existan valores duplicados en campos específicos, implementando la misma funcionalidad que UNIQUE constraints en bases relacionales.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Implementación:</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00220" cy="234886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300220" cy="2348865"/>
                    </a:xfrm>
                    <a:prstGeom prst="rect">
                      <a:avLst/>
                    </a:prstGeom>
                    <a:noFill/>
                  </pic:spPr>
                </pic:pic>
              </a:graphicData>
            </a:graphic>
          </wp:anchor>
        </w:drawing>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 restricción es crítica para prevenir la duplicación de habitantes censados, asegurando la integridad de las estadísticas del censo.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2.4 Seguridad de Datos Personales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protección de información sensible en NoSQL se implementa mediante múltiples capas: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Encriptación a Nivel de Campo:</w:t>
      </w:r>
      <w:r>
        <w:rPr>
          <w:rFonts w:eastAsia="Noto Sans Mono CJK SC" w:cs="Liberation Mono" w:ascii="Adwaita Sans" w:hAnsi="Adwaita Sans"/>
          <w:sz w:val="22"/>
          <w:szCs w:val="22"/>
        </w:rPr>
        <w:t xml:space="preserve"> MongoDB Enterprise ofrece encriptación automática de campos sensibles (Field Level Encryption), permitiendo que datos como números de documento se almacenen encriptados sin modificar el código de la aplicación.</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Encriptación en Reposo:</w:t>
      </w:r>
      <w:r>
        <w:rPr>
          <w:rFonts w:eastAsia="Noto Sans Mono CJK SC" w:cs="Liberation Mono" w:ascii="Adwaita Sans" w:hAnsi="Adwaita Sans"/>
          <w:sz w:val="22"/>
          <w:szCs w:val="22"/>
        </w:rPr>
        <w:t xml:space="preserve"> Toda la base de datos puede encriptarse en disco usando encriptación transparente (Encryption at Rest), protegiendo contra acceso físico no autorizado a los archivos de datos.</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Control de Acceso Basado en Roles:</w:t>
      </w:r>
      <w:r>
        <w:rPr>
          <w:rFonts w:eastAsia="Noto Sans Mono CJK SC" w:cs="Liberation Mono" w:ascii="Adwaita Sans" w:hAnsi="Adwaita Sans"/>
          <w:sz w:val="22"/>
          <w:szCs w:val="22"/>
        </w:rPr>
        <w:t xml:space="preserve"> MongoDB implementa RBAC granular donde se definen roles con permisos específicos sobre colecciones y operaciones (lectura, escritura, actualización, eliminación).</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Auditoría de Accesos:</w:t>
      </w:r>
      <w:r>
        <w:rPr>
          <w:rFonts w:eastAsia="Noto Sans Mono CJK SC" w:cs="Liberation Mono" w:ascii="Adwaita Sans" w:hAnsi="Adwaita Sans"/>
          <w:sz w:val="22"/>
          <w:szCs w:val="22"/>
        </w:rPr>
        <w:t xml:space="preserve"> El sistema de auditoría registra todas las operaciones realizadas por usuarios, permitiendo trazabilidad completa para cumplimiento normativo.</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 Definición de Colecciones y Estructuras de Documentos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Las siguientes secciones definen las colecciones principales del sistema Censo Rural, incluyendo la estructura de documentos, validación de esquemas e índices de seguridad.</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3.1 Colección: categorias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categorias</w:t>
      </w:r>
      <w:r>
        <w:rPr>
          <w:rFonts w:eastAsia="Noto Sans Mono CJK SC" w:cs="Liberation Mono" w:ascii="Adwaita Sans" w:hAnsi="Adwaita Sans"/>
          <w:sz w:val="22"/>
          <w:szCs w:val="22"/>
        </w:rPr>
        <w:t xml:space="preserve"> gestiona clasificaciones jerárquicas de datos por región, comunidad, vereda o grupo etario, permitiendo organización territorial y análisis desagregados.</w:t>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Estructura de Documento</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112260" cy="29273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112260" cy="2927350"/>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Validación de Esquema</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304030" cy="738124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4304030" cy="7381240"/>
                    </a:xfrm>
                    <a:prstGeom prst="rect">
                      <a:avLst/>
                    </a:prstGeom>
                    <a:noFill/>
                  </pic:spPr>
                </pic:pic>
              </a:graphicData>
            </a:graphic>
          </wp:anchor>
        </w:drawing>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drawing>
          <wp:anchor behindDoc="0" distT="0" distB="0" distL="0" distR="0" simplePos="0" locked="0" layoutInCell="0" allowOverlap="1" relativeHeight="7">
            <wp:simplePos x="0" y="0"/>
            <wp:positionH relativeFrom="column">
              <wp:posOffset>0</wp:posOffset>
            </wp:positionH>
            <wp:positionV relativeFrom="paragraph">
              <wp:posOffset>1073150</wp:posOffset>
            </wp:positionV>
            <wp:extent cx="6332220" cy="370713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332220" cy="3707130"/>
                    </a:xfrm>
                    <a:prstGeom prst="rect">
                      <a:avLst/>
                    </a:prstGeom>
                    <a:noFill/>
                  </pic:spPr>
                </pic:pic>
              </a:graphicData>
            </a:graphic>
          </wp:anchor>
        </w:drawing>
      </w:r>
      <w:r>
        <w:rPr>
          <w:rFonts w:eastAsia="Noto Sans Mono CJK SC" w:cs="Liberation Mono" w:ascii="Adwaita Sans" w:hAnsi="Adwaita Sans"/>
          <w:sz w:val="22"/>
          <w:szCs w:val="22"/>
        </w:rPr>
        <w:t>Índices</w:t>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funcional:</w:t>
      </w:r>
      <w:r>
        <w:rPr>
          <w:rFonts w:eastAsia="Noto Sans Mono CJK SC" w:cs="Liberation Mono" w:ascii="Adwaita Sans" w:hAnsi="Adwaita Sans"/>
          <w:sz w:val="22"/>
          <w:szCs w:val="22"/>
        </w:rPr>
        <w:t xml:space="preserve"> La estructura jerárquica con subdocumento </w:t>
      </w:r>
      <w:r>
        <w:rPr>
          <w:rStyle w:val="SourceText"/>
          <w:rFonts w:ascii="Adwaita Sans" w:hAnsi="Adwaita Sans"/>
          <w:sz w:val="22"/>
          <w:szCs w:val="22"/>
        </w:rPr>
        <w:t>jerarquia</w:t>
      </w:r>
      <w:r>
        <w:rPr>
          <w:rFonts w:eastAsia="Noto Sans Mono CJK SC" w:cs="Liberation Mono" w:ascii="Adwaita Sans" w:hAnsi="Adwaita Sans"/>
          <w:sz w:val="22"/>
          <w:szCs w:val="22"/>
        </w:rPr>
        <w:t xml:space="preserve"> permite consultas eficientes por nivel administrativo. El índice geoespacial facilita búsquedas de "categorías cercanas" para asignación inteligente de zonas a encuestadores.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3.2 Colección: usuarios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usuarios</w:t>
      </w:r>
      <w:r>
        <w:rPr>
          <w:rFonts w:eastAsia="Noto Sans Mono CJK SC" w:cs="Liberation Mono" w:ascii="Adwaita Sans" w:hAnsi="Adwaita Sans"/>
          <w:sz w:val="22"/>
          <w:szCs w:val="22"/>
        </w:rPr>
        <w:t xml:space="preserve"> centraliza la gestión de autenticación, autorización y perfil de todos los usuarios del sistema.</w:t>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Estructura de Documento</w:t>
      </w:r>
    </w:p>
    <w:p>
      <w:pPr>
        <w:pStyle w:val="PreformattedText"/>
        <w:spacing w:lineRule="auto" w:line="360" w:before="0" w:after="283"/>
        <w:jc w:val="both"/>
        <w:rPr>
          <w:rFonts w:ascii="Adwaita Sans" w:hAnsi="Adwaita Sans"/>
          <w:sz w:val="22"/>
          <w:szCs w:val="22"/>
        </w:rPr>
      </w:pPr>
      <w:r>
        <w:rPr/>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de seguridad:</w:t>
      </w:r>
      <w:r>
        <w:rPr>
          <w:rFonts w:eastAsia="Noto Sans Mono CJK SC" w:cs="Liberation Mono" w:ascii="Adwaita Sans" w:hAnsi="Adwaita Sans"/>
          <w:sz w:val="22"/>
          <w:szCs w:val="22"/>
        </w:rPr>
        <w:t xml:space="preserve"> El campo </w:t>
      </w:r>
      <w:r>
        <w:rPr>
          <w:rStyle w:val="SourceText"/>
          <w:rFonts w:ascii="Adwaita Sans" w:hAnsi="Adwaita Sans"/>
          <w:sz w:val="22"/>
          <w:szCs w:val="22"/>
        </w:rPr>
        <w:t>contrasenaHash</w:t>
      </w:r>
      <w:r>
        <w:rPr>
          <w:rFonts w:eastAsia="Noto Sans Mono CJK SC" w:cs="Liberation Mono" w:ascii="Adwaita Sans" w:hAnsi="Adwaita Sans"/>
          <w:sz w:val="22"/>
          <w:szCs w:val="22"/>
        </w:rPr>
        <w:t xml:space="preserve"> almacena solo el hash bcrypt de la contraseña, nunca el texto plano. El subdocumento </w:t>
      </w:r>
      <w:r>
        <w:rPr>
          <w:rStyle w:val="SourceText"/>
          <w:rFonts w:ascii="Adwaita Sans" w:hAnsi="Adwaita Sans"/>
          <w:sz w:val="22"/>
          <w:szCs w:val="22"/>
        </w:rPr>
        <w:t>seguridad</w:t>
      </w:r>
      <w:r>
        <w:rPr>
          <w:rFonts w:eastAsia="Noto Sans Mono CJK SC" w:cs="Liberation Mono" w:ascii="Adwaita Sans" w:hAnsi="Adwaita Sans"/>
          <w:sz w:val="22"/>
          <w:szCs w:val="22"/>
        </w:rPr>
        <w:t xml:space="preserve"> implementa protección contra ataques de fuerza bruta mediante contador de intentos fallidos y bloqueo temporal. La separación del </w:t>
      </w:r>
      <w:r>
        <w:rPr>
          <w:rStyle w:val="SourceText"/>
          <w:rFonts w:ascii="Adwaita Sans" w:hAnsi="Adwaita Sans"/>
          <w:sz w:val="22"/>
          <w:szCs w:val="22"/>
        </w:rPr>
        <w:t>perfilEncuestador</w:t>
      </w:r>
      <w:r>
        <w:rPr>
          <w:rFonts w:eastAsia="Noto Sans Mono CJK SC" w:cs="Liberation Mono" w:ascii="Adwaita Sans" w:hAnsi="Adwaita Sans"/>
          <w:sz w:val="22"/>
          <w:szCs w:val="22"/>
        </w:rPr>
        <w:t xml:space="preserve"> permite extender roles sin contaminar la estructura base.</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3.3 Colección: habitantesCensados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habitantesCensados</w:t>
      </w:r>
      <w:r>
        <w:rPr>
          <w:rFonts w:eastAsia="Noto Sans Mono CJK SC" w:cs="Liberation Mono" w:ascii="Adwaita Sans" w:hAnsi="Adwaita Sans"/>
          <w:sz w:val="22"/>
          <w:szCs w:val="22"/>
        </w:rPr>
        <w:t xml:space="preserve"> almacena los datos personales verificados de cada habitante de zonas rurales, siendo la colección más sensible del sistema.</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de seguridad crítica:</w:t>
      </w:r>
      <w:r>
        <w:rPr>
          <w:rFonts w:eastAsia="Noto Sans Mono CJK SC" w:cs="Liberation Mono" w:ascii="Adwaita Sans" w:hAnsi="Adwaita Sans"/>
          <w:sz w:val="22"/>
          <w:szCs w:val="22"/>
        </w:rPr>
        <w:t xml:space="preserve"> El índice único en </w:t>
      </w:r>
      <w:r>
        <w:rPr>
          <w:rStyle w:val="SourceText"/>
          <w:rFonts w:ascii="Adwaita Sans" w:hAnsi="Adwaita Sans"/>
          <w:sz w:val="22"/>
          <w:szCs w:val="22"/>
        </w:rPr>
        <w:t>numeroDocumento</w:t>
      </w:r>
      <w:r>
        <w:rPr>
          <w:rFonts w:eastAsia="Noto Sans Mono CJK SC" w:cs="Liberation Mono" w:ascii="Adwaita Sans" w:hAnsi="Adwaita Sans"/>
          <w:sz w:val="22"/>
          <w:szCs w:val="22"/>
        </w:rPr>
        <w:t xml:space="preserve"> es la garantía fundamental contra duplicación de habitantes. El subdocumento </w:t>
      </w:r>
      <w:r>
        <w:rPr>
          <w:rStyle w:val="SourceText"/>
          <w:rFonts w:ascii="Adwaita Sans" w:hAnsi="Adwaita Sans"/>
          <w:sz w:val="22"/>
          <w:szCs w:val="22"/>
        </w:rPr>
        <w:t>seguridad</w:t>
      </w:r>
      <w:r>
        <w:rPr>
          <w:rFonts w:eastAsia="Noto Sans Mono CJK SC" w:cs="Liberation Mono" w:ascii="Adwaita Sans" w:hAnsi="Adwaita Sans"/>
          <w:sz w:val="22"/>
          <w:szCs w:val="22"/>
        </w:rPr>
        <w:t xml:space="preserve"> indica qué campos están encriptados y el consentimiento informado. El array </w:t>
      </w:r>
      <w:r>
        <w:rPr>
          <w:rStyle w:val="SourceText"/>
          <w:rFonts w:ascii="Adwaita Sans" w:hAnsi="Adwaita Sans"/>
          <w:sz w:val="22"/>
          <w:szCs w:val="22"/>
        </w:rPr>
        <w:t>historicoRegistros</w:t>
      </w:r>
      <w:r>
        <w:rPr>
          <w:rFonts w:eastAsia="Noto Sans Mono CJK SC" w:cs="Liberation Mono" w:ascii="Adwaita Sans" w:hAnsi="Adwaita Sans"/>
          <w:sz w:val="22"/>
          <w:szCs w:val="22"/>
        </w:rPr>
        <w:t xml:space="preserve"> mantiene trazabilidad sin necesidad de JOINs.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3.4 Colección: registrosCenso</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registrosCenso</w:t>
      </w:r>
      <w:r>
        <w:rPr>
          <w:rFonts w:eastAsia="Noto Sans Mono CJK SC" w:cs="Liberation Mono" w:ascii="Adwaita Sans" w:hAnsi="Adwaita Sans"/>
          <w:sz w:val="22"/>
          <w:szCs w:val="22"/>
        </w:rPr>
        <w:t xml:space="preserve"> almacena cada instancia transaccional de captura de datos en campo, vinculando encuestador, habitante, formulario y metadatos.</w:t>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Estructura de Documento</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850005" cy="2585720"/>
            <wp:effectExtent l="0" t="0" r="0" b="0"/>
            <wp:wrapSquare wrapText="largest"/>
            <wp:docPr id="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descr="" title=""/>
                    <pic:cNvPicPr>
                      <a:picLocks noChangeAspect="1" noChangeArrowheads="1"/>
                    </pic:cNvPicPr>
                  </pic:nvPicPr>
                  <pic:blipFill>
                    <a:blip r:embed="rId8"/>
                    <a:stretch>
                      <a:fillRect/>
                    </a:stretch>
                  </pic:blipFill>
                  <pic:spPr bwMode="auto">
                    <a:xfrm>
                      <a:off x="0" y="0"/>
                      <a:ext cx="3850005" cy="2585720"/>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p>
    <w:p>
      <w:pPr>
        <w:pStyle w:val="PreformattedText"/>
        <w:spacing w:lineRule="auto" w:line="360" w:before="0" w:after="283"/>
        <w:jc w:val="both"/>
        <w:rPr>
          <w:rFonts w:ascii="Adwaita Sans" w:hAnsi="Adwaita Sans"/>
          <w:sz w:val="22"/>
          <w:szCs w:val="22"/>
        </w:rPr>
      </w:pPr>
      <w:r>
        <w:rPr/>
      </w:r>
    </w:p>
    <w:p>
      <w:pPr>
        <w:pStyle w:val="Heading4"/>
        <w:spacing w:lineRule="auto" w:line="360" w:before="0" w:after="283"/>
        <w:jc w:val="both"/>
        <w:rPr>
          <w:rFonts w:ascii="Adwaita Sans" w:hAnsi="Adwaita Sans" w:eastAsia="Noto Sans Mono CJK SC" w:cs="Liberation Mono"/>
          <w:sz w:val="22"/>
          <w:szCs w:val="22"/>
        </w:rPr>
      </w:pPr>
      <w:r>
        <w:rPr/>
      </w:r>
    </w:p>
    <w:p>
      <w:pPr>
        <w:pStyle w:val="PreformattedText"/>
        <w:spacing w:lineRule="auto" w:line="360" w:before="0" w:after="283"/>
        <w:jc w:val="both"/>
        <w:rPr>
          <w:rFonts w:ascii="Adwaita Sans" w:hAnsi="Adwaita Sans"/>
          <w:sz w:val="22"/>
          <w:szCs w:val="22"/>
        </w:rPr>
      </w:pPr>
      <w:r>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Índices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12">
            <wp:simplePos x="0" y="0"/>
            <wp:positionH relativeFrom="column">
              <wp:posOffset>880110</wp:posOffset>
            </wp:positionH>
            <wp:positionV relativeFrom="paragraph">
              <wp:posOffset>-205105</wp:posOffset>
            </wp:positionV>
            <wp:extent cx="3336290" cy="7443470"/>
            <wp:effectExtent l="0" t="0" r="0" b="0"/>
            <wp:wrapSquare wrapText="largest"/>
            <wp:docPr id="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title=""/>
                    <pic:cNvPicPr>
                      <a:picLocks noChangeAspect="1" noChangeArrowheads="1"/>
                    </pic:cNvPicPr>
                  </pic:nvPicPr>
                  <pic:blipFill>
                    <a:blip r:embed="rId9"/>
                    <a:stretch>
                      <a:fillRect/>
                    </a:stretch>
                  </pic:blipFill>
                  <pic:spPr bwMode="auto">
                    <a:xfrm>
                      <a:off x="0" y="0"/>
                      <a:ext cx="3336290" cy="7443470"/>
                    </a:xfrm>
                    <a:prstGeom prst="rect">
                      <a:avLst/>
                    </a:prstGeom>
                    <a:noFill/>
                  </pic:spPr>
                </pic:pic>
              </a:graphicData>
            </a:graphic>
          </wp:anchor>
        </w:drawing>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Índice para consultas por encuestador</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332220" cy="1955165"/>
            <wp:effectExtent l="0" t="0" r="0" b="0"/>
            <wp:wrapSquare wrapText="largest"/>
            <wp:docPr id="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0" descr="" title=""/>
                    <pic:cNvPicPr>
                      <a:picLocks noChangeAspect="1" noChangeArrowheads="1"/>
                    </pic:cNvPicPr>
                  </pic:nvPicPr>
                  <pic:blipFill>
                    <a:blip r:embed="rId10"/>
                    <a:stretch>
                      <a:fillRect/>
                    </a:stretch>
                  </pic:blipFill>
                  <pic:spPr bwMode="auto">
                    <a:xfrm>
                      <a:off x="0" y="0"/>
                      <a:ext cx="6332220" cy="1955165"/>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Índice para historial de habitante</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590415" cy="1463040"/>
            <wp:effectExtent l="0" t="0" r="0" b="0"/>
            <wp:wrapSquare wrapText="largest"/>
            <wp:docPr id="10"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title=""/>
                    <pic:cNvPicPr>
                      <a:picLocks noChangeAspect="1" noChangeArrowheads="1"/>
                    </pic:cNvPicPr>
                  </pic:nvPicPr>
                  <pic:blipFill>
                    <a:blip r:embed="rId11"/>
                    <a:stretch>
                      <a:fillRect/>
                    </a:stretch>
                  </pic:blipFill>
                  <pic:spPr bwMode="auto">
                    <a:xfrm>
                      <a:off x="0" y="0"/>
                      <a:ext cx="4590415" cy="1463040"/>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Índice para registros pendientes de sincronización</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1466850"/>
            <wp:effectExtent l="0" t="0" r="0" b="0"/>
            <wp:wrapSquare wrapText="largest"/>
            <wp:docPr id="11"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title=""/>
                    <pic:cNvPicPr>
                      <a:picLocks noChangeAspect="1" noChangeArrowheads="1"/>
                    </pic:cNvPicPr>
                  </pic:nvPicPr>
                  <pic:blipFill>
                    <a:blip r:embed="rId12"/>
                    <a:stretch>
                      <a:fillRect/>
                    </a:stretch>
                  </pic:blipFill>
                  <pic:spPr bwMode="auto">
                    <a:xfrm>
                      <a:off x="0" y="0"/>
                      <a:ext cx="6332220" cy="1466850"/>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Indice geoespacial para ubicacion de captura</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0">
            <wp:simplePos x="0" y="0"/>
            <wp:positionH relativeFrom="column">
              <wp:posOffset>843915</wp:posOffset>
            </wp:positionH>
            <wp:positionV relativeFrom="paragraph">
              <wp:posOffset>-6350</wp:posOffset>
            </wp:positionV>
            <wp:extent cx="4504055" cy="1858645"/>
            <wp:effectExtent l="0" t="0" r="0" b="0"/>
            <wp:wrapSquare wrapText="largest"/>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13"/>
                    <a:stretch>
                      <a:fillRect/>
                    </a:stretch>
                  </pic:blipFill>
                  <pic:spPr bwMode="auto">
                    <a:xfrm>
                      <a:off x="0" y="0"/>
                      <a:ext cx="4504055" cy="1858645"/>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Indice para consulta por formulario</w:t>
      </w:r>
    </w:p>
    <w:p>
      <w:pPr>
        <w:pStyle w:val="BodyText"/>
        <w:spacing w:lineRule="auto" w:line="360" w:before="0" w:after="283"/>
        <w:jc w:val="both"/>
        <w:rPr>
          <w:rFonts w:ascii="Adwaita Sans" w:hAnsi="Adwaita Sans" w:eastAsia="Noto Sans Mono CJK SC" w:cs="Liberation Mono"/>
          <w:sz w:val="22"/>
          <w:szCs w:val="22"/>
        </w:rPr>
      </w:pPr>
      <w:r>
        <w:rPr/>
        <w:drawing>
          <wp:anchor behindDoc="0" distT="0" distB="0" distL="0" distR="0" simplePos="0" locked="0" layoutInCell="0" allowOverlap="1" relativeHeight="9">
            <wp:simplePos x="0" y="0"/>
            <wp:positionH relativeFrom="column">
              <wp:posOffset>1304925</wp:posOffset>
            </wp:positionH>
            <wp:positionV relativeFrom="paragraph">
              <wp:posOffset>-68580</wp:posOffset>
            </wp:positionV>
            <wp:extent cx="3663950" cy="1780540"/>
            <wp:effectExtent l="0" t="0" r="0" b="0"/>
            <wp:wrapSquare wrapText="largest"/>
            <wp:docPr id="1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title=""/>
                    <pic:cNvPicPr>
                      <a:picLocks noChangeAspect="1" noChangeArrowheads="1"/>
                    </pic:cNvPicPr>
                  </pic:nvPicPr>
                  <pic:blipFill>
                    <a:blip r:embed="rId14"/>
                    <a:stretch>
                      <a:fillRect/>
                    </a:stretch>
                  </pic:blipFill>
                  <pic:spPr bwMode="auto">
                    <a:xfrm>
                      <a:off x="0" y="0"/>
                      <a:ext cx="3663950" cy="1780540"/>
                    </a:xfrm>
                    <a:prstGeom prst="rect">
                      <a:avLst/>
                    </a:prstGeom>
                    <a:noFill/>
                  </pic:spPr>
                </pic:pic>
              </a:graphicData>
            </a:graphic>
          </wp:anchor>
        </w:drawing>
      </w:r>
    </w:p>
    <w:p>
      <w:pPr>
        <w:pStyle w:val="BodyText"/>
        <w:spacing w:lineRule="auto" w:line="360" w:before="0" w:after="283"/>
        <w:jc w:val="both"/>
        <w:rPr>
          <w:rFonts w:ascii="Adwaita Sans" w:hAnsi="Adwaita Sans" w:eastAsia="Noto Sans Mono CJK SC" w:cs="Liberation Mono"/>
          <w:sz w:val="22"/>
          <w:szCs w:val="22"/>
        </w:rPr>
      </w:pPr>
      <w:r>
        <w:rPr/>
      </w:r>
    </w:p>
    <w:p>
      <w:pPr>
        <w:pStyle w:val="BodyText"/>
        <w:spacing w:lineRule="auto" w:line="360" w:before="0" w:after="283"/>
        <w:jc w:val="both"/>
        <w:rPr>
          <w:rFonts w:ascii="Adwaita Sans" w:hAnsi="Adwaita Sans" w:eastAsia="Noto Sans Mono CJK SC" w:cs="Liberation Mono"/>
          <w:sz w:val="22"/>
          <w:szCs w:val="22"/>
        </w:rPr>
      </w:pPr>
      <w:r>
        <w:rPr/>
      </w:r>
    </w:p>
    <w:p>
      <w:pPr>
        <w:pStyle w:val="BodyText"/>
        <w:spacing w:lineRule="auto" w:line="360" w:before="0" w:after="283"/>
        <w:jc w:val="both"/>
        <w:rPr>
          <w:rFonts w:ascii="Adwaita Sans" w:hAnsi="Adwaita Sans" w:eastAsia="Noto Sans Mono CJK SC" w:cs="Liberation Mono"/>
          <w:sz w:val="22"/>
          <w:szCs w:val="22"/>
        </w:rPr>
      </w:pPr>
      <w:r>
        <w:rPr/>
      </w:r>
    </w:p>
    <w:p>
      <w:pPr>
        <w:pStyle w:val="BodyText"/>
        <w:spacing w:lineRule="auto" w:line="360" w:before="0" w:after="283"/>
        <w:jc w:val="both"/>
        <w:rPr>
          <w:rFonts w:ascii="Adwaita Sans" w:hAnsi="Adwaita Sans" w:eastAsia="Noto Sans Mono CJK SC" w:cs="Liberation Mono"/>
          <w:sz w:val="22"/>
          <w:szCs w:val="22"/>
        </w:rPr>
      </w:pPr>
      <w:r>
        <w:rPr/>
        <w:drawing>
          <wp:anchor behindDoc="0" distT="0" distB="0" distL="0" distR="0" simplePos="0" locked="0" layoutInCell="0" allowOverlap="1" relativeHeight="8">
            <wp:simplePos x="0" y="0"/>
            <wp:positionH relativeFrom="column">
              <wp:posOffset>-50165</wp:posOffset>
            </wp:positionH>
            <wp:positionV relativeFrom="paragraph">
              <wp:posOffset>687705</wp:posOffset>
            </wp:positionV>
            <wp:extent cx="6332220" cy="1799590"/>
            <wp:effectExtent l="0" t="0" r="0" b="0"/>
            <wp:wrapSquare wrapText="largest"/>
            <wp:docPr id="1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title=""/>
                    <pic:cNvPicPr>
                      <a:picLocks noChangeAspect="1" noChangeArrowheads="1"/>
                    </pic:cNvPicPr>
                  </pic:nvPicPr>
                  <pic:blipFill>
                    <a:blip r:embed="rId15"/>
                    <a:stretch>
                      <a:fillRect/>
                    </a:stretch>
                  </pic:blipFill>
                  <pic:spPr bwMode="auto">
                    <a:xfrm>
                      <a:off x="0" y="0"/>
                      <a:ext cx="6332220" cy="1799590"/>
                    </a:xfrm>
                    <a:prstGeom prst="rect">
                      <a:avLst/>
                    </a:prstGeom>
                    <a:noFill/>
                  </pic:spPr>
                </pic:pic>
              </a:graphicData>
            </a:graphic>
          </wp:anchor>
        </w:drawing>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Indice para registros por validar</w:t>
      </w:r>
    </w:p>
    <w:p>
      <w:pPr>
        <w:pStyle w:val="BodyText"/>
        <w:spacing w:lineRule="auto" w:line="360" w:before="0" w:after="283"/>
        <w:jc w:val="both"/>
        <w:rPr>
          <w:rFonts w:ascii="Adwaita Sans" w:hAnsi="Adwaita Sans" w:eastAsia="Noto Sans Mono CJK SC" w:cs="Liberation Mono"/>
          <w:sz w:val="22"/>
          <w:szCs w:val="22"/>
        </w:rPr>
      </w:pPr>
      <w:r>
        <w:rPr/>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funcional:</w:t>
      </w:r>
      <w:r>
        <w:rPr>
          <w:rFonts w:eastAsia="Noto Sans Mono CJK SC" w:cs="Liberation Mono" w:ascii="Adwaita Sans" w:hAnsi="Adwaita Sans"/>
          <w:sz w:val="22"/>
          <w:szCs w:val="22"/>
        </w:rPr>
        <w:t xml:space="preserve"> El subdocumento </w:t>
      </w:r>
      <w:r>
        <w:rPr>
          <w:rStyle w:val="SourceText"/>
          <w:rFonts w:ascii="Adwaita Sans" w:hAnsi="Adwaita Sans"/>
          <w:sz w:val="22"/>
          <w:szCs w:val="22"/>
        </w:rPr>
        <w:t>sincronizacion</w:t>
      </w:r>
      <w:r>
        <w:rPr>
          <w:rFonts w:eastAsia="Noto Sans Mono CJK SC" w:cs="Liberation Mono" w:ascii="Adwaita Sans" w:hAnsi="Adwaita Sans"/>
          <w:sz w:val="22"/>
          <w:szCs w:val="22"/>
        </w:rPr>
        <w:t xml:space="preserve"> es crítico para la operación offline, permitiendo identificar registros pendientes de envío al servidor. El array </w:t>
      </w:r>
      <w:r>
        <w:rPr>
          <w:rStyle w:val="SourceText"/>
          <w:rFonts w:ascii="Adwaita Sans" w:hAnsi="Adwaita Sans"/>
          <w:sz w:val="22"/>
          <w:szCs w:val="22"/>
        </w:rPr>
        <w:t>archivosAdjuntos</w:t>
      </w:r>
      <w:r>
        <w:rPr>
          <w:rFonts w:eastAsia="Noto Sans Mono CJK SC" w:cs="Liberation Mono" w:ascii="Adwaita Sans" w:hAnsi="Adwaita Sans"/>
          <w:sz w:val="22"/>
          <w:szCs w:val="22"/>
        </w:rPr>
        <w:t xml:space="preserve"> mantiene referencias a archivos sin necesidad de una colección separada. La estructura </w:t>
      </w:r>
      <w:r>
        <w:rPr>
          <w:rStyle w:val="SourceText"/>
          <w:rFonts w:ascii="Adwaita Sans" w:hAnsi="Adwaita Sans"/>
          <w:sz w:val="22"/>
          <w:szCs w:val="22"/>
        </w:rPr>
        <w:t>datosFormulario.respuestas</w:t>
      </w:r>
      <w:r>
        <w:rPr>
          <w:rFonts w:eastAsia="Noto Sans Mono CJK SC" w:cs="Liberation Mono" w:ascii="Adwaita Sans" w:hAnsi="Adwaita Sans"/>
          <w:sz w:val="22"/>
          <w:szCs w:val="22"/>
        </w:rPr>
        <w:t xml:space="preserve"> permite flexibilidad total en las preguntas del censo.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3.5 Colección: archivos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archivos</w:t>
      </w:r>
      <w:r>
        <w:rPr>
          <w:rFonts w:eastAsia="Noto Sans Mono CJK SC" w:cs="Liberation Mono" w:ascii="Adwaita Sans" w:hAnsi="Adwaita Sans"/>
          <w:sz w:val="22"/>
          <w:szCs w:val="22"/>
        </w:rPr>
        <w:t xml:space="preserve"> gestiona el almacenamiento de fotografías, documentos escaneados y otros archivos binarios adjuntos a los registros de censo.</w:t>
      </w:r>
    </w:p>
    <w:p>
      <w:pPr>
        <w:pStyle w:val="BodyText"/>
        <w:spacing w:lineRule="auto" w:line="360" w:before="0" w:after="283"/>
        <w:jc w:val="both"/>
        <w:rPr>
          <w:rFonts w:ascii="Adwaita Sans" w:hAnsi="Adwaita Sans" w:eastAsia="Noto Sans Mono CJK SC" w:cs="Liberation Mono"/>
          <w:sz w:val="22"/>
          <w:szCs w:val="22"/>
        </w:rPr>
      </w:pPr>
      <w:r>
        <w:rPr>
          <w:rStyle w:val="Strong"/>
          <w:rFonts w:eastAsia="Noto Sans Mono CJK SC" w:cs="Liberation Mono" w:ascii="Adwaita Sans" w:hAnsi="Adwaita Sans"/>
          <w:sz w:val="22"/>
          <w:szCs w:val="22"/>
        </w:rPr>
        <w:t>Justificación de seguridad crítica:</w:t>
      </w:r>
      <w:r>
        <w:rPr>
          <w:rFonts w:eastAsia="Noto Sans Mono CJK SC" w:cs="Liberation Mono" w:ascii="Adwaita Sans" w:hAnsi="Adwaita Sans"/>
          <w:sz w:val="22"/>
          <w:szCs w:val="22"/>
        </w:rPr>
        <w:t xml:space="preserve"> El campo </w:t>
      </w:r>
      <w:r>
        <w:rPr>
          <w:rStyle w:val="SourceText"/>
          <w:rFonts w:ascii="Adwaita Sans" w:hAnsi="Adwaita Sans"/>
          <w:sz w:val="22"/>
          <w:szCs w:val="22"/>
        </w:rPr>
        <w:t>esEncriptado</w:t>
      </w:r>
      <w:r>
        <w:rPr>
          <w:rFonts w:eastAsia="Noto Sans Mono CJK SC" w:cs="Liberation Mono" w:ascii="Adwaita Sans" w:hAnsi="Adwaita Sans"/>
          <w:sz w:val="22"/>
          <w:szCs w:val="22"/>
        </w:rPr>
        <w:t xml:space="preserve"> marca archivos que contienen información sensible. El </w:t>
      </w:r>
      <w:r>
        <w:rPr>
          <w:rStyle w:val="SourceText"/>
          <w:rFonts w:ascii="Adwaita Sans" w:hAnsi="Adwaita Sans"/>
          <w:sz w:val="22"/>
          <w:szCs w:val="22"/>
        </w:rPr>
        <w:t>hashIntegridad</w:t>
      </w:r>
      <w:r>
        <w:rPr>
          <w:rFonts w:eastAsia="Noto Sans Mono CJK SC" w:cs="Liberation Mono" w:ascii="Adwaita Sans" w:hAnsi="Adwaita Sans"/>
          <w:sz w:val="22"/>
          <w:szCs w:val="22"/>
        </w:rPr>
        <w:t xml:space="preserve"> permite verificar que el archivo no ha sido modificado o corrompido. El subdocumento </w:t>
      </w:r>
      <w:r>
        <w:rPr>
          <w:rStyle w:val="SourceText"/>
          <w:rFonts w:ascii="Adwaita Sans" w:hAnsi="Adwaita Sans"/>
          <w:sz w:val="22"/>
          <w:szCs w:val="22"/>
        </w:rPr>
        <w:t>procesamientoIA</w:t>
      </w:r>
      <w:r>
        <w:rPr>
          <w:rFonts w:eastAsia="Noto Sans Mono CJK SC" w:cs="Liberation Mono" w:ascii="Adwaita Sans" w:hAnsi="Adwaita Sans"/>
          <w:sz w:val="22"/>
          <w:szCs w:val="22"/>
        </w:rPr>
        <w:t xml:space="preserve"> habilita capacidades avanzadas como OCR y validación automática de documentos.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3.6 Colección: formulariosCenso</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colección </w:t>
      </w:r>
      <w:r>
        <w:rPr>
          <w:rStyle w:val="SourceText"/>
          <w:rFonts w:ascii="Adwaita Sans" w:hAnsi="Adwaita Sans"/>
          <w:sz w:val="22"/>
          <w:szCs w:val="22"/>
        </w:rPr>
        <w:t>formulariosCenso</w:t>
      </w:r>
      <w:r>
        <w:rPr>
          <w:rFonts w:eastAsia="Noto Sans Mono CJK SC" w:cs="Liberation Mono" w:ascii="Adwaita Sans" w:hAnsi="Adwaita Sans"/>
          <w:sz w:val="22"/>
          <w:szCs w:val="22"/>
        </w:rPr>
        <w:t xml:space="preserve"> define las plantillas de formularios dinámicos utilizados para capturar datos en campo.</w:t>
      </w:r>
    </w:p>
    <w:p>
      <w:pPr>
        <w:pStyle w:val="Heading4"/>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15">
            <wp:simplePos x="0" y="0"/>
            <wp:positionH relativeFrom="column">
              <wp:posOffset>661035</wp:posOffset>
            </wp:positionH>
            <wp:positionV relativeFrom="paragraph">
              <wp:posOffset>142875</wp:posOffset>
            </wp:positionV>
            <wp:extent cx="5051425" cy="178117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5051425" cy="1781175"/>
                    </a:xfrm>
                    <a:prstGeom prst="rect">
                      <a:avLst/>
                    </a:prstGeom>
                    <a:noFill/>
                  </pic:spPr>
                </pic:pic>
              </a:graphicData>
            </a:graphic>
          </wp:anchor>
        </w:drawing>
      </w:r>
      <w:r>
        <w:rPr>
          <w:rFonts w:eastAsia="Noto Sans Mono CJK SC" w:cs="Liberation Mono" w:ascii="Adwaita Sans" w:hAnsi="Adwaita Sans"/>
          <w:sz w:val="22"/>
          <w:szCs w:val="22"/>
        </w:rPr>
        <w:t>Índices</w:t>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Índice único para código de formulario</w:t>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Índice para formularios activos</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6">
            <wp:simplePos x="0" y="0"/>
            <wp:positionH relativeFrom="column">
              <wp:posOffset>140335</wp:posOffset>
            </wp:positionH>
            <wp:positionV relativeFrom="paragraph">
              <wp:posOffset>194310</wp:posOffset>
            </wp:positionV>
            <wp:extent cx="5281930" cy="1937385"/>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tretch>
                      <a:fillRect/>
                    </a:stretch>
                  </pic:blipFill>
                  <pic:spPr bwMode="auto">
                    <a:xfrm>
                      <a:off x="0" y="0"/>
                      <a:ext cx="5281930" cy="1937385"/>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Índice compuesto para búsquedas por nombre y versión</w:t>
      </w:r>
    </w:p>
    <w:p>
      <w:pPr>
        <w:pStyle w:val="PreformattedText"/>
        <w:spacing w:lineRule="auto" w:line="360" w:before="0" w:after="283"/>
        <w:jc w:val="both"/>
        <w:rPr>
          <w:b/>
          <w:bCs/>
        </w:rPr>
      </w:pPr>
      <w:r>
        <w:rPr>
          <w:b/>
          <w:bCs/>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021580" cy="2032635"/>
            <wp:effectExtent l="0" t="0" r="0" b="0"/>
            <wp:wrapSquare wrapText="largest"/>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8"/>
                    <a:stretch>
                      <a:fillRect/>
                    </a:stretch>
                  </pic:blipFill>
                  <pic:spPr bwMode="auto">
                    <a:xfrm>
                      <a:off x="0" y="0"/>
                      <a:ext cx="5021580" cy="2032635"/>
                    </a:xfrm>
                    <a:prstGeom prst="rect">
                      <a:avLst/>
                    </a:prstGeom>
                    <a:noFill/>
                  </pic:spPr>
                </pic:pic>
              </a:graphicData>
            </a:graphic>
          </wp:anchor>
        </w:drawing>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4.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Implementación de Seguridad Avanzada en MongoDB</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4.1 Encriptación a Nivel de Campo (Field Level Encryption)</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MongoDB Enterprise ofrece encriptación automática de campos sensibles sin modificar código de aplicación:</w:t>
      </w:r>
    </w:p>
    <w:p>
      <w:pPr>
        <w:pStyle w:val="PreformattedText"/>
        <w:spacing w:lineRule="auto" w:line="360" w:before="0" w:after="283"/>
        <w:jc w:val="both"/>
        <w:rPr>
          <w:rFonts w:ascii="Adwaita Sans" w:hAnsi="Adwaita Sans"/>
          <w:sz w:val="22"/>
          <w:szCs w:val="22"/>
        </w:rPr>
      </w:pPr>
      <w:r>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 Operaciones CRUD y Consultas Comunes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5.1 Inserción de Documentos</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Insertar habitante censado</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42585" cy="6351270"/>
            <wp:effectExtent l="0" t="0" r="0" b="0"/>
            <wp:wrapSquare wrapText="largest"/>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9"/>
                    <a:stretch>
                      <a:fillRect/>
                    </a:stretch>
                  </pic:blipFill>
                  <pic:spPr bwMode="auto">
                    <a:xfrm>
                      <a:off x="0" y="0"/>
                      <a:ext cx="5442585" cy="6351270"/>
                    </a:xfrm>
                    <a:prstGeom prst="rect">
                      <a:avLst/>
                    </a:prstGeom>
                    <a:noFill/>
                  </pic:spPr>
                </pic:pic>
              </a:graphicData>
            </a:graphic>
          </wp:anchor>
        </w:drawing>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5.2 Consultas Avanzadas</w:t>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 xml:space="preserve"> </w:t>
      </w:r>
      <w:r>
        <w:rPr>
          <w:rStyle w:val="SourceText"/>
          <w:rFonts w:ascii="Adwaita Sans" w:hAnsi="Adwaita Sans"/>
          <w:sz w:val="22"/>
          <w:szCs w:val="22"/>
        </w:rPr>
        <w:t>Buscar habitantes por rango de edad en una zona específica</w:t>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332220" cy="2207895"/>
            <wp:effectExtent l="0" t="0" r="0" b="0"/>
            <wp:wrapSquare wrapText="largest"/>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6332220" cy="2207895"/>
                    </a:xfrm>
                    <a:prstGeom prst="rect">
                      <a:avLst/>
                    </a:prstGeom>
                    <a:noFill/>
                  </pic:spPr>
                </pic:pic>
              </a:graphicData>
            </a:graphic>
          </wp:anchor>
        </w:drawing>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Fonts w:ascii="Adwaita Sans" w:hAnsi="Adwaita Sans"/>
          <w:sz w:val="22"/>
          <w:szCs w:val="22"/>
        </w:rPr>
      </w:r>
    </w:p>
    <w:p>
      <w:pPr>
        <w:pStyle w:val="PreformattedText"/>
        <w:spacing w:lineRule="auto" w:line="360" w:before="0" w:after="283"/>
        <w:jc w:val="both"/>
        <w:rPr>
          <w:rFonts w:ascii="Adwaita Sans" w:hAnsi="Adwaita Sans"/>
          <w:sz w:val="22"/>
          <w:szCs w:val="22"/>
        </w:rPr>
      </w:pPr>
      <w:r>
        <w:rPr>
          <w:rStyle w:val="SourceText"/>
          <w:rFonts w:ascii="Adwaita Sans" w:hAnsi="Adwaita Sans"/>
          <w:sz w:val="22"/>
          <w:szCs w:val="22"/>
        </w:rPr>
        <w:t>Agregar estadísticas por municipio</w:t>
      </w:r>
    </w:p>
    <w:p>
      <w:pPr>
        <w:pStyle w:val="PreformattedText"/>
        <w:spacing w:lineRule="auto" w:line="360" w:before="0" w:after="283"/>
        <w:jc w:val="both"/>
        <w:rPr>
          <w:rFonts w:ascii="Adwaita Sans" w:hAnsi="Adwaita Sans"/>
          <w:sz w:val="22"/>
          <w:szCs w:val="22"/>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332220" cy="6308725"/>
            <wp:effectExtent l="0" t="0" r="0" b="0"/>
            <wp:wrapSquare wrapText="largest"/>
            <wp:docPr id="20"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descr="" title=""/>
                    <pic:cNvPicPr>
                      <a:picLocks noChangeAspect="1" noChangeArrowheads="1"/>
                    </pic:cNvPicPr>
                  </pic:nvPicPr>
                  <pic:blipFill>
                    <a:blip r:embed="rId21"/>
                    <a:stretch>
                      <a:fillRect/>
                    </a:stretch>
                  </pic:blipFill>
                  <pic:spPr bwMode="auto">
                    <a:xfrm>
                      <a:off x="0" y="0"/>
                      <a:ext cx="6332220" cy="6308725"/>
                    </a:xfrm>
                    <a:prstGeom prst="rect">
                      <a:avLst/>
                    </a:prstGeom>
                    <a:noFill/>
                  </pic:spPr>
                </pic:pic>
              </a:graphicData>
            </a:graphic>
          </wp:anchor>
        </w:drawing>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 Cumplimiento de Criterios de Evaluación</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Tabla 1. Matriz de Cumplimiento (GA6-220501096-AA1-EV03)</w:t>
      </w:r>
    </w:p>
    <w:tbl>
      <w:tblPr>
        <w:tblW w:w="9972" w:type="dxa"/>
        <w:jc w:val="start"/>
        <w:tblInd w:w="0" w:type="dxa"/>
        <w:tblLayout w:type="fixed"/>
        <w:tblCellMar>
          <w:top w:w="28" w:type="dxa"/>
          <w:start w:w="28" w:type="dxa"/>
          <w:bottom w:w="28" w:type="dxa"/>
          <w:end w:w="28" w:type="dxa"/>
        </w:tblCellMar>
      </w:tblPr>
      <w:tblGrid>
        <w:gridCol w:w="2368"/>
        <w:gridCol w:w="6204"/>
        <w:gridCol w:w="1400"/>
      </w:tblGrid>
      <w:tr>
        <w:trPr>
          <w:tblHeader w:val="true"/>
        </w:trPr>
        <w:tc>
          <w:tcPr>
            <w:tcW w:w="2368" w:type="dxa"/>
            <w:tcBorders/>
            <w:vAlign w:val="center"/>
          </w:tcPr>
          <w:p>
            <w:pPr>
              <w:pStyle w:val="TableHeading"/>
              <w:rPr/>
            </w:pPr>
            <w:r>
              <w:rPr/>
              <w:t>Criterio de Evaluación</w:t>
            </w:r>
          </w:p>
        </w:tc>
        <w:tc>
          <w:tcPr>
            <w:tcW w:w="6204" w:type="dxa"/>
            <w:tcBorders/>
            <w:vAlign w:val="center"/>
          </w:tcPr>
          <w:p>
            <w:pPr>
              <w:pStyle w:val="TableHeading"/>
              <w:rPr/>
            </w:pPr>
            <w:r>
              <w:rPr/>
              <w:t>Cumplimiento en Modelo NoSQL</w:t>
            </w:r>
          </w:p>
        </w:tc>
        <w:tc>
          <w:tcPr>
            <w:tcW w:w="1400" w:type="dxa"/>
            <w:tcBorders/>
            <w:vAlign w:val="center"/>
          </w:tcPr>
          <w:p>
            <w:pPr>
              <w:pStyle w:val="TableHeading"/>
              <w:rPr/>
            </w:pPr>
            <w:r>
              <w:rPr/>
              <w:t>Evidencia</w:t>
            </w:r>
          </w:p>
        </w:tc>
      </w:tr>
      <w:tr>
        <w:trPr/>
        <w:tc>
          <w:tcPr>
            <w:tcW w:w="2368" w:type="dxa"/>
            <w:tcBorders/>
            <w:vAlign w:val="center"/>
          </w:tcPr>
          <w:p>
            <w:pPr>
              <w:pStyle w:val="TableContents"/>
              <w:rPr/>
            </w:pPr>
            <w:r>
              <w:rPr/>
              <w:t>Crea la base de datos integrando objetos según funcionalidad del software</w:t>
            </w:r>
          </w:p>
        </w:tc>
        <w:tc>
          <w:tcPr>
            <w:tcW w:w="6204" w:type="dxa"/>
            <w:tcBorders/>
            <w:vAlign w:val="center"/>
          </w:tcPr>
          <w:p>
            <w:pPr>
              <w:pStyle w:val="TableContents"/>
              <w:rPr/>
            </w:pPr>
            <w:r>
              <w:rPr/>
              <w:t>Se definieron 6 colecciones (categorias, usuarios, habitantesCensados, registrosCenso, archivos, formulariosCenso) con estructuras de documentos JSON flexibles que cubren gestión de usuarios, datos censados, captura en campo y almacenamiento seguro</w:t>
            </w:r>
          </w:p>
        </w:tc>
        <w:tc>
          <w:tcPr>
            <w:tcW w:w="1400" w:type="dxa"/>
            <w:tcBorders/>
            <w:vAlign w:val="center"/>
          </w:tcPr>
          <w:p>
            <w:pPr>
              <w:pStyle w:val="TableContents"/>
              <w:rPr/>
            </w:pPr>
            <w:r>
              <w:rPr/>
              <w:t>Secciones 3.1 a 3.6</w:t>
            </w:r>
          </w:p>
        </w:tc>
      </w:tr>
      <w:tr>
        <w:trPr/>
        <w:tc>
          <w:tcPr>
            <w:tcW w:w="2368" w:type="dxa"/>
            <w:tcBorders/>
            <w:vAlign w:val="center"/>
          </w:tcPr>
          <w:p>
            <w:pPr>
              <w:pStyle w:val="TableContents"/>
              <w:rPr/>
            </w:pPr>
            <w:r>
              <w:rPr/>
              <w:t>Crea sentencias para creación de colecciones</w:t>
            </w:r>
          </w:p>
        </w:tc>
        <w:tc>
          <w:tcPr>
            <w:tcW w:w="6204" w:type="dxa"/>
            <w:tcBorders/>
            <w:vAlign w:val="center"/>
          </w:tcPr>
          <w:p>
            <w:pPr>
              <w:pStyle w:val="TableContents"/>
              <w:rPr/>
            </w:pPr>
            <w:r>
              <w:rPr/>
              <w:t xml:space="preserve">Se proporcionaron comandos completos </w:t>
            </w:r>
            <w:r>
              <w:rPr>
                <w:rStyle w:val="SourceText"/>
              </w:rPr>
              <w:t>db.createCollection()</w:t>
            </w:r>
            <w:r>
              <w:rPr/>
              <w:t xml:space="preserve"> con validación JSON Schema para todas las colecciones, definiendo estructura, tipos de datos y restricciones</w:t>
            </w:r>
          </w:p>
        </w:tc>
        <w:tc>
          <w:tcPr>
            <w:tcW w:w="1400" w:type="dxa"/>
            <w:tcBorders/>
            <w:vAlign w:val="center"/>
          </w:tcPr>
          <w:p>
            <w:pPr>
              <w:pStyle w:val="TableContents"/>
              <w:rPr/>
            </w:pPr>
            <w:r>
              <w:rPr/>
              <w:t>Secciones 3.1 a 3.6</w:t>
            </w:r>
          </w:p>
        </w:tc>
      </w:tr>
      <w:tr>
        <w:trPr/>
        <w:tc>
          <w:tcPr>
            <w:tcW w:w="2368" w:type="dxa"/>
            <w:tcBorders/>
            <w:vAlign w:val="center"/>
          </w:tcPr>
          <w:p>
            <w:pPr>
              <w:pStyle w:val="TableContents"/>
              <w:rPr/>
            </w:pPr>
            <w:r>
              <w:rPr/>
              <w:t>Define esquemas de seguridad para integridad de información</w:t>
            </w:r>
          </w:p>
        </w:tc>
        <w:tc>
          <w:tcPr>
            <w:tcW w:w="6204" w:type="dxa"/>
            <w:tcBorders/>
            <w:vAlign w:val="center"/>
          </w:tcPr>
          <w:p>
            <w:pPr>
              <w:pStyle w:val="TableContents"/>
              <w:rPr/>
            </w:pPr>
            <w:r>
              <w:rPr/>
              <w:t>Implementación de: (1) Validación JSON Schema obligatoria, (2) Índices únicos en campos críticos, (3) Encriptación a nivel de campo, (4) RBAC con roles diferenciados, (5) Auditoría de operaciones, (6) Hash de integridad en archivos</w:t>
            </w:r>
          </w:p>
        </w:tc>
        <w:tc>
          <w:tcPr>
            <w:tcW w:w="1400" w:type="dxa"/>
            <w:tcBorders/>
            <w:vAlign w:val="center"/>
          </w:tcPr>
          <w:p>
            <w:pPr>
              <w:pStyle w:val="TableContents"/>
              <w:rPr/>
            </w:pPr>
            <w:r>
              <w:rPr/>
              <w:t>Secciones 2, 4.1, 4.2, 4.3</w:t>
            </w:r>
          </w:p>
        </w:tc>
      </w:tr>
      <w:tr>
        <w:trPr/>
        <w:tc>
          <w:tcPr>
            <w:tcW w:w="2368" w:type="dxa"/>
            <w:tcBorders/>
            <w:vAlign w:val="center"/>
          </w:tcPr>
          <w:p>
            <w:pPr>
              <w:pStyle w:val="TableContents"/>
              <w:rPr/>
            </w:pPr>
            <w:r>
              <w:rPr/>
              <w:t>Implementa mecanismos de sincronización offline</w:t>
            </w:r>
          </w:p>
        </w:tc>
        <w:tc>
          <w:tcPr>
            <w:tcW w:w="6204" w:type="dxa"/>
            <w:tcBorders/>
            <w:vAlign w:val="center"/>
          </w:tcPr>
          <w:p>
            <w:pPr>
              <w:pStyle w:val="TableContents"/>
              <w:rPr/>
            </w:pPr>
            <w:r>
              <w:rPr/>
              <w:t xml:space="preserve">El campo </w:t>
            </w:r>
            <w:r>
              <w:rPr>
                <w:rStyle w:val="SourceText"/>
              </w:rPr>
              <w:t>sincronizacion</w:t>
            </w:r>
            <w:r>
              <w:rPr/>
              <w:t xml:space="preserve"> en registrosCenso con estados (Offline, Sincronizando, Sincronizado, Error) permite operación desconectada esencial para zonas sin conectividad</w:t>
            </w:r>
          </w:p>
        </w:tc>
        <w:tc>
          <w:tcPr>
            <w:tcW w:w="1400" w:type="dxa"/>
            <w:tcBorders/>
            <w:vAlign w:val="center"/>
          </w:tcPr>
          <w:p>
            <w:pPr>
              <w:pStyle w:val="TableContents"/>
              <w:rPr/>
            </w:pPr>
            <w:r>
              <w:rPr/>
              <w:t>Sección 3.4</w:t>
            </w:r>
          </w:p>
        </w:tc>
      </w:tr>
      <w:tr>
        <w:trPr/>
        <w:tc>
          <w:tcPr>
            <w:tcW w:w="2368" w:type="dxa"/>
            <w:tcBorders/>
            <w:vAlign w:val="center"/>
          </w:tcPr>
          <w:p>
            <w:pPr>
              <w:pStyle w:val="TableContents"/>
              <w:rPr/>
            </w:pPr>
            <w:r>
              <w:rPr/>
              <w:t>Protege datos personales sensibles</w:t>
            </w:r>
          </w:p>
        </w:tc>
        <w:tc>
          <w:tcPr>
            <w:tcW w:w="6204" w:type="dxa"/>
            <w:tcBorders/>
            <w:vAlign w:val="center"/>
          </w:tcPr>
          <w:p>
            <w:pPr>
              <w:pStyle w:val="TableContents"/>
              <w:rPr/>
            </w:pPr>
            <w:r>
              <w:rPr/>
              <w:t xml:space="preserve">Múltiples capas: encriptación automática de campos (FLE), hash bcrypt de contraseñas, indicador </w:t>
            </w:r>
            <w:r>
              <w:rPr>
                <w:rStyle w:val="SourceText"/>
              </w:rPr>
              <w:t>esEncriptado</w:t>
            </w:r>
            <w:r>
              <w:rPr/>
              <w:t xml:space="preserve"> en archivos, consentimiento informado, control de acceso granular</w:t>
            </w:r>
          </w:p>
        </w:tc>
        <w:tc>
          <w:tcPr>
            <w:tcW w:w="1400" w:type="dxa"/>
            <w:tcBorders/>
            <w:vAlign w:val="center"/>
          </w:tcPr>
          <w:p>
            <w:pPr>
              <w:pStyle w:val="TableContents"/>
              <w:rPr/>
            </w:pPr>
            <w:r>
              <w:rPr/>
              <w:t>Secciones 2.4, 3.2, 3.3, 3.5</w:t>
            </w:r>
          </w:p>
        </w:tc>
      </w:tr>
    </w:tbl>
    <w:p>
      <w:pPr>
        <w:pStyle w:val="HorizontalLine"/>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Conclusiones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presente documento ha desarrollado exhaustivamente un modelo de base de datos no relacional para el proyecto "Censo Rural" utilizando MongoDB como motor NoSQL orientado a documentos. El diseño implementado cumple integralmente con los requisitos establecidos en la evidencia GA6-220501096-AA1-EV03, adaptando los conceptos de integridad, unicidad y seguridad al paradigma no relacional.</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Las principales ventajas del modelo NoSQL implementado incluyen flexibilidad de esquema para adaptarse a diferentes tipos de censos regionales, operación offline optimizada mediante sincronización de réplicas, escalabilidad horizontal para crecimiento del proyecto, y rendimiento superior en operaciones de lectura y escritura de documentos completos. La validación JSON Schema proporciona garantías de integridad de datos equiparables a las restricciones de bases relacionales, mientras mantiene la flexibilidad característica de NoSQL.</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esquemas de seguridad implementados satisfacen los requerimientos de protección de datos personales sensibles mediante encriptación a nivel de campo, control de acceso basado en roles, auditoría completa de operaciones y hash de integridad para archivos adjuntos. La arquitectura de documentos embebidos y referencias por ObjectId proporciona un balance óptimo entre desnormalización estratégica y mantenimiento de relaciones lógicas entre entidades.</w:t>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modelo presentado constituye una base sólida y escalable para el desarrollo del sistema "Censo Rural", ofreciendo las capacidades técnicas necesarias para gestionar eficientemente la recolección, almacenamiento y análisis de datos de población en zonas rurales apartadas de Colombia, cumpliendo con los estándares de calidad, seguridad y normativa de protección de datos vigente.</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center"/>
        <w:rPr>
          <w:i/>
          <w:i/>
          <w:iCs/>
        </w:rPr>
      </w:pPr>
      <w:r>
        <w:rPr>
          <w:rFonts w:eastAsia="Noto Sans Mono CJK SC" w:cs="Liberation Mono" w:ascii="Adwaita Sans" w:hAnsi="Adwaita Sans"/>
          <w:i/>
          <w:iCs/>
          <w:sz w:val="22"/>
          <w:szCs w:val="22"/>
        </w:rPr>
        <w:t>Referencias</w:t>
      </w:r>
    </w:p>
    <w:p>
      <w:pPr>
        <w:pStyle w:val="BodyText"/>
        <w:spacing w:lineRule="auto" w:line="360" w:before="0" w:after="283"/>
        <w:jc w:val="both"/>
        <w:rPr/>
      </w:pPr>
      <w:r>
        <w:rPr>
          <w:rFonts w:eastAsia="Noto Sans Mono CJK SC" w:cs="Liberation Mono" w:ascii="Adwaita Sans" w:hAnsi="Adwaita Sans"/>
          <w:i/>
          <w:iCs/>
          <w:sz w:val="22"/>
          <w:szCs w:val="22"/>
        </w:rPr>
        <w:t xml:space="preserve">American Psychological Association. (2020). </w:t>
      </w:r>
      <w:r>
        <w:rPr>
          <w:rStyle w:val="Emphasis"/>
          <w:rFonts w:eastAsia="Noto Sans Mono CJK SC" w:cs="Liberation Mono" w:ascii="Adwaita Sans" w:hAnsi="Adwaita Sans"/>
          <w:i/>
          <w:iCs/>
          <w:sz w:val="22"/>
          <w:szCs w:val="22"/>
        </w:rPr>
        <w:t>Publication manual of the American Psychological Association</w:t>
      </w:r>
      <w:r>
        <w:rPr>
          <w:rFonts w:eastAsia="Noto Sans Mono CJK SC" w:cs="Liberation Mono" w:ascii="Adwaita Sans" w:hAnsi="Adwaita Sans"/>
          <w:i/>
          <w:iCs/>
          <w:sz w:val="22"/>
          <w:szCs w:val="22"/>
        </w:rPr>
        <w:t xml:space="preserve"> (7th ed.). https://doi.org/10.1037/0000165-000</w:t>
      </w:r>
    </w:p>
    <w:p>
      <w:pPr>
        <w:pStyle w:val="BodyText"/>
        <w:spacing w:lineRule="auto" w:line="360" w:before="0" w:after="283"/>
        <w:jc w:val="both"/>
        <w:rPr/>
      </w:pPr>
      <w:r>
        <w:rPr>
          <w:rFonts w:eastAsia="Noto Sans Mono CJK SC" w:cs="Liberation Mono" w:ascii="Adwaita Sans" w:hAnsi="Adwaita Sans"/>
          <w:i/>
          <w:iCs/>
          <w:sz w:val="22"/>
          <w:szCs w:val="22"/>
        </w:rPr>
        <w:t xml:space="preserve">Banker, K., Garrett, D., Bakkum, P., &amp; Verch, S. (2016). </w:t>
      </w:r>
      <w:r>
        <w:rPr>
          <w:rStyle w:val="Emphasis"/>
          <w:rFonts w:eastAsia="Noto Sans Mono CJK SC" w:cs="Liberation Mono" w:ascii="Adwaita Sans" w:hAnsi="Adwaita Sans"/>
          <w:i/>
          <w:iCs/>
          <w:sz w:val="22"/>
          <w:szCs w:val="22"/>
        </w:rPr>
        <w:t>MongoDB in action</w:t>
      </w:r>
      <w:r>
        <w:rPr>
          <w:rFonts w:eastAsia="Noto Sans Mono CJK SC" w:cs="Liberation Mono" w:ascii="Adwaita Sans" w:hAnsi="Adwaita Sans"/>
          <w:i/>
          <w:iCs/>
          <w:sz w:val="22"/>
          <w:szCs w:val="22"/>
        </w:rPr>
        <w:t xml:space="preserve"> (2nd ed.). Manning Publications.</w:t>
      </w:r>
    </w:p>
    <w:p>
      <w:pPr>
        <w:pStyle w:val="BodyText"/>
        <w:spacing w:lineRule="auto" w:line="360" w:before="0" w:after="283"/>
        <w:jc w:val="both"/>
        <w:rPr/>
      </w:pPr>
      <w:r>
        <w:rPr>
          <w:rFonts w:eastAsia="Noto Sans Mono CJK SC" w:cs="Liberation Mono" w:ascii="Adwaita Sans" w:hAnsi="Adwaita Sans"/>
          <w:i/>
          <w:iCs/>
          <w:sz w:val="22"/>
          <w:szCs w:val="22"/>
        </w:rPr>
        <w:t xml:space="preserve">Bradshaw, S., Brazil, E., &amp; Chodorow, K. (2019). </w:t>
      </w:r>
      <w:r>
        <w:rPr>
          <w:rStyle w:val="Emphasis"/>
          <w:rFonts w:eastAsia="Noto Sans Mono CJK SC" w:cs="Liberation Mono" w:ascii="Adwaita Sans" w:hAnsi="Adwaita Sans"/>
          <w:i/>
          <w:iCs/>
          <w:sz w:val="22"/>
          <w:szCs w:val="22"/>
        </w:rPr>
        <w:t>MongoDB: The definitive guide</w:t>
      </w:r>
      <w:r>
        <w:rPr>
          <w:rFonts w:eastAsia="Noto Sans Mono CJK SC" w:cs="Liberation Mono" w:ascii="Adwaita Sans" w:hAnsi="Adwaita Sans"/>
          <w:i/>
          <w:iCs/>
          <w:sz w:val="22"/>
          <w:szCs w:val="22"/>
        </w:rPr>
        <w:t xml:space="preserve"> (3rd ed.). O'Reilly Media.</w:t>
      </w:r>
    </w:p>
    <w:p>
      <w:pPr>
        <w:pStyle w:val="BodyText"/>
        <w:spacing w:lineRule="auto" w:line="360" w:before="0" w:after="283"/>
        <w:jc w:val="both"/>
        <w:rPr/>
      </w:pPr>
      <w:r>
        <w:rPr>
          <w:rFonts w:eastAsia="Noto Sans Mono CJK SC" w:cs="Liberation Mono" w:ascii="Adwaita Sans" w:hAnsi="Adwaita Sans"/>
          <w:i/>
          <w:iCs/>
          <w:sz w:val="22"/>
          <w:szCs w:val="22"/>
        </w:rPr>
        <w:t xml:space="preserve">Moniruzzaman, A. B. M., &amp; Hossain, S. A. (2013). NoSQL database: New era of databases for big data analytics. </w:t>
      </w:r>
      <w:r>
        <w:rPr>
          <w:rStyle w:val="Emphasis"/>
          <w:rFonts w:eastAsia="Noto Sans Mono CJK SC" w:cs="Liberation Mono" w:ascii="Adwaita Sans" w:hAnsi="Adwaita Sans"/>
          <w:i/>
          <w:iCs/>
          <w:sz w:val="22"/>
          <w:szCs w:val="22"/>
        </w:rPr>
        <w:t>International Journal of Database Theory and Application</w:t>
      </w:r>
      <w:r>
        <w:rPr>
          <w:rFonts w:eastAsia="Noto Sans Mono CJK SC" w:cs="Liberation Mono" w:ascii="Adwaita Sans" w:hAnsi="Adwaita Sans"/>
          <w:i/>
          <w:iCs/>
          <w:sz w:val="22"/>
          <w:szCs w:val="22"/>
        </w:rPr>
        <w:t xml:space="preserve">, </w:t>
      </w:r>
      <w:r>
        <w:rPr>
          <w:rStyle w:val="Emphasis"/>
          <w:rFonts w:eastAsia="Noto Sans Mono CJK SC" w:cs="Liberation Mono" w:ascii="Adwaita Sans" w:hAnsi="Adwaita Sans"/>
          <w:i/>
          <w:iCs/>
          <w:sz w:val="22"/>
          <w:szCs w:val="22"/>
        </w:rPr>
        <w:t>6</w:t>
      </w:r>
      <w:r>
        <w:rPr>
          <w:rFonts w:eastAsia="Noto Sans Mono CJK SC" w:cs="Liberation Mono" w:ascii="Adwaita Sans" w:hAnsi="Adwaita Sans"/>
          <w:i/>
          <w:iCs/>
          <w:sz w:val="22"/>
          <w:szCs w:val="22"/>
        </w:rPr>
        <w:t>(4), 1-14.</w:t>
      </w:r>
    </w:p>
    <w:p>
      <w:pPr>
        <w:pStyle w:val="BodyText"/>
        <w:spacing w:lineRule="auto" w:line="360" w:before="0" w:after="283"/>
        <w:jc w:val="both"/>
        <w:rPr/>
      </w:pPr>
      <w:r>
        <w:rPr>
          <w:rFonts w:eastAsia="Noto Sans Mono CJK SC" w:cs="Liberation Mono" w:ascii="Adwaita Sans" w:hAnsi="Adwaita Sans"/>
          <w:i/>
          <w:iCs/>
          <w:sz w:val="22"/>
          <w:szCs w:val="22"/>
        </w:rPr>
        <w:t xml:space="preserve">MongoDB, Inc. (2024). </w:t>
      </w:r>
      <w:r>
        <w:rPr>
          <w:rStyle w:val="Emphasis"/>
          <w:rFonts w:eastAsia="Noto Sans Mono CJK SC" w:cs="Liberation Mono" w:ascii="Adwaita Sans" w:hAnsi="Adwaita Sans"/>
          <w:i/>
          <w:iCs/>
          <w:sz w:val="22"/>
          <w:szCs w:val="22"/>
        </w:rPr>
        <w:t>MongoDB manual: Security</w:t>
      </w:r>
      <w:r>
        <w:rPr>
          <w:rFonts w:eastAsia="Noto Sans Mono CJK SC" w:cs="Liberation Mono" w:ascii="Adwaita Sans" w:hAnsi="Adwaita Sans"/>
          <w:i/>
          <w:iCs/>
          <w:sz w:val="22"/>
          <w:szCs w:val="22"/>
        </w:rPr>
        <w:t>. https://docs.mongodb.com/manual/security/</w:t>
      </w:r>
    </w:p>
    <w:p>
      <w:pPr>
        <w:pStyle w:val="BodyText"/>
        <w:spacing w:lineRule="auto" w:line="360" w:before="0" w:after="283"/>
        <w:jc w:val="both"/>
        <w:rPr/>
      </w:pPr>
      <w:r>
        <w:rPr>
          <w:rFonts w:eastAsia="Noto Sans Mono CJK SC" w:cs="Liberation Mono" w:ascii="Adwaita Sans" w:hAnsi="Adwaita Sans"/>
          <w:i/>
          <w:iCs/>
          <w:sz w:val="22"/>
          <w:szCs w:val="22"/>
        </w:rPr>
        <w:t xml:space="preserve">República de Colombia. (2012). </w:t>
      </w:r>
      <w:r>
        <w:rPr>
          <w:rStyle w:val="Emphasis"/>
          <w:rFonts w:eastAsia="Noto Sans Mono CJK SC" w:cs="Liberation Mono" w:ascii="Adwaita Sans" w:hAnsi="Adwaita Sans"/>
          <w:i/>
          <w:iCs/>
          <w:sz w:val="22"/>
          <w:szCs w:val="22"/>
        </w:rPr>
        <w:t>Ley 1581 de 2012: Régimen general de protección de datos personales</w:t>
      </w:r>
      <w:r>
        <w:rPr>
          <w:rFonts w:eastAsia="Noto Sans Mono CJK SC" w:cs="Liberation Mono" w:ascii="Adwaita Sans" w:hAnsi="Adwaita Sans"/>
          <w:i/>
          <w:iCs/>
          <w:sz w:val="22"/>
          <w:szCs w:val="22"/>
        </w:rPr>
        <w:t>. Diario Oficial No. 48.587.</w:t>
      </w:r>
    </w:p>
    <w:p>
      <w:pPr>
        <w:pStyle w:val="BodyText"/>
        <w:spacing w:lineRule="auto" w:line="360" w:before="0" w:after="283"/>
        <w:jc w:val="both"/>
        <w:rPr/>
      </w:pPr>
      <w:r>
        <w:rPr>
          <w:rFonts w:eastAsia="Noto Sans Mono CJK SC" w:cs="Liberation Mono" w:ascii="Adwaita Sans" w:hAnsi="Adwaita Sans"/>
          <w:i/>
          <w:iCs/>
          <w:sz w:val="22"/>
          <w:szCs w:val="22"/>
        </w:rPr>
        <w:t xml:space="preserve">Sadalage, P. J., &amp; Fowler, M. (2012). </w:t>
      </w:r>
      <w:r>
        <w:rPr>
          <w:rStyle w:val="Emphasis"/>
          <w:rFonts w:eastAsia="Noto Sans Mono CJK SC" w:cs="Liberation Mono" w:ascii="Adwaita Sans" w:hAnsi="Adwaita Sans"/>
          <w:i/>
          <w:iCs/>
          <w:sz w:val="22"/>
          <w:szCs w:val="22"/>
        </w:rPr>
        <w:t>NoSQL distilled: A brief guide to the emerging world of polyglot persistence</w:t>
      </w:r>
      <w:r>
        <w:rPr>
          <w:rFonts w:eastAsia="Noto Sans Mono CJK SC" w:cs="Liberation Mono" w:ascii="Adwaita Sans" w:hAnsi="Adwaita Sans"/>
          <w:i/>
          <w:iCs/>
          <w:sz w:val="22"/>
          <w:szCs w:val="22"/>
        </w:rPr>
        <w:t>. Addison-Wesley Professional.</w:t>
      </w:r>
    </w:p>
    <w:p>
      <w:pPr>
        <w:pStyle w:val="BodyText"/>
        <w:spacing w:lineRule="auto" w:line="360" w:before="0" w:after="283"/>
        <w:jc w:val="both"/>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dwaita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2515</TotalTime>
  <Application>LibreOffice/25.2.7.2$Linux_X86_64 LibreOffice_project/520$Build-2</Application>
  <AppVersion>15.0000</AppVersion>
  <Pages>23</Pages>
  <Words>2013</Words>
  <Characters>12983</Characters>
  <CharactersWithSpaces>14884</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2025-11-04T18:55:01Z</cp:lastPrinted>
  <dcterms:modified xsi:type="dcterms:W3CDTF">2025-11-04T22:29:21Z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