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rFonts w:ascii="Adwaita Sans" w:hAnsi="Adwaita Sans"/>
        </w:rPr>
      </w:pPr>
      <w:r>
        <w:rPr>
          <w:rFonts w:ascii="Adwaita Sans" w:hAnsi="Adwaita Sans"/>
        </w:rPr>
      </w:r>
    </w:p>
    <w:p>
      <w:pPr>
        <w:pStyle w:val="Title"/>
        <w:spacing w:before="240" w:after="120"/>
        <w:jc w:val="center"/>
        <w:rPr>
          <w:rFonts w:ascii="Adwaita Sans" w:hAnsi="Adwaita Sans"/>
          <w:b/>
          <w:bCs/>
          <w:sz w:val="44"/>
          <w:szCs w:val="44"/>
        </w:rPr>
      </w:pPr>
      <w:r>
        <w:rPr/>
      </w:r>
      <w:bookmarkStart w:id="0" w:name="__DdeLink__484_3751743897"/>
      <w:bookmarkStart w:id="1" w:name="__DdeLink__484_3751743897"/>
    </w:p>
    <w:p>
      <w:pPr>
        <w:pStyle w:val="PreformattedText"/>
        <w:bidi w:val="0"/>
        <w:spacing w:before="0" w:after="0"/>
        <w:jc w:val="center"/>
        <w:rPr>
          <w:rFonts w:ascii="Adwaita Sans" w:hAnsi="Adwaita Sans"/>
          <w:b/>
          <w:bCs/>
          <w:sz w:val="36"/>
          <w:szCs w:val="36"/>
        </w:rPr>
      </w:pPr>
      <w:r>
        <w:rPr>
          <w:rFonts w:ascii="Adwaita Sans" w:hAnsi="Adwaita Sans"/>
          <w:b/>
          <w:bCs/>
          <w:sz w:val="36"/>
          <w:szCs w:val="36"/>
        </w:rPr>
        <w:t>Diagrama de flujo sobre las instrucciones de un</w:t>
      </w:r>
    </w:p>
    <w:p>
      <w:pPr>
        <w:pStyle w:val="PreformattedText"/>
        <w:bidi w:val="0"/>
        <w:spacing w:before="0" w:after="0"/>
        <w:jc w:val="center"/>
        <w:rPr>
          <w:rFonts w:ascii="Adwaita Sans" w:hAnsi="Adwaita Sans"/>
          <w:b/>
          <w:bCs/>
          <w:sz w:val="36"/>
          <w:szCs w:val="36"/>
        </w:rPr>
      </w:pPr>
      <w:r>
        <w:rPr>
          <w:rFonts w:ascii="Adwaita Sans" w:hAnsi="Adwaita Sans"/>
          <w:b/>
          <w:bCs/>
          <w:sz w:val="36"/>
          <w:szCs w:val="36"/>
        </w:rPr>
        <w:t>proceso relacionado con su quehacer labora</w:t>
      </w:r>
      <w:r>
        <w:rPr>
          <w:rFonts w:ascii="Adwaita Sans" w:hAnsi="Adwaita Sans"/>
          <w:b/>
          <w:bCs/>
          <w:sz w:val="36"/>
          <w:szCs w:val="36"/>
        </w:rPr>
        <w:t>l</w:t>
      </w:r>
    </w:p>
    <w:p>
      <w:pPr>
        <w:pStyle w:val="PreformattedText"/>
        <w:bidi w:val="0"/>
        <w:spacing w:before="0" w:after="0"/>
        <w:jc w:val="center"/>
        <w:rPr>
          <w:rFonts w:ascii="Adwaita Sans" w:hAnsi="Adwaita Sans"/>
          <w:b/>
          <w:bCs/>
          <w:sz w:val="36"/>
          <w:szCs w:val="36"/>
        </w:rPr>
      </w:pPr>
      <w:r>
        <w:rPr>
          <w:rFonts w:ascii="Adwaita Sans" w:hAnsi="Adwaita Sans"/>
          <w:b/>
          <w:bCs/>
          <w:sz w:val="36"/>
          <w:szCs w:val="36"/>
        </w:rPr>
        <w:t xml:space="preserve">GA5-240202501-AA1-EV01  </w:t>
      </w:r>
    </w:p>
    <w:p>
      <w:pPr>
        <w:pStyle w:val="PreformattedText"/>
        <w:bidi w:val="0"/>
        <w:spacing w:before="0" w:after="0"/>
        <w:jc w:val="center"/>
        <w:rPr>
          <w:rFonts w:ascii="Adwaita Sans" w:hAnsi="Adwaita Sans"/>
          <w:b/>
          <w:bCs/>
          <w:sz w:val="36"/>
          <w:szCs w:val="36"/>
        </w:rPr>
      </w:pPr>
      <w:r>
        <w:rPr>
          <w:rFonts w:ascii="Adwaita Sans" w:hAnsi="Adwaita Sans"/>
          <w:b/>
          <w:bCs/>
          <w:sz w:val="36"/>
          <w:szCs w:val="36"/>
        </w:rPr>
      </w:r>
    </w:p>
    <w:p>
      <w:pPr>
        <w:pStyle w:val="PreformattedText"/>
        <w:bidi w:val="0"/>
        <w:spacing w:before="0" w:after="0"/>
        <w:jc w:val="start"/>
        <w:rPr>
          <w:rFonts w:ascii="Adwaita Sans" w:hAnsi="Adwaita Sans"/>
        </w:rPr>
      </w:pPr>
      <w:r>
        <w:rPr>
          <w:rFonts w:ascii="Adwaita Sans" w:hAnsi="Adwaita Sans"/>
        </w:rPr>
        <w:drawing>
          <wp:anchor behindDoc="0" distT="0" distB="0" distL="0" distR="0" simplePos="0" locked="0" layoutInCell="0" allowOverlap="1" relativeHeight="2">
            <wp:simplePos x="0" y="0"/>
            <wp:positionH relativeFrom="column">
              <wp:posOffset>2506345</wp:posOffset>
            </wp:positionH>
            <wp:positionV relativeFrom="paragraph">
              <wp:posOffset>118745</wp:posOffset>
            </wp:positionV>
            <wp:extent cx="1363980" cy="133731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363980" cy="1337310"/>
                    </a:xfrm>
                    <a:prstGeom prst="rect">
                      <a:avLst/>
                    </a:prstGeom>
                    <a:noFill/>
                  </pic:spPr>
                </pic:pic>
              </a:graphicData>
            </a:graphic>
          </wp:anchor>
        </w:drawing>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center"/>
        <w:rPr>
          <w:rFonts w:ascii="Adwaita Sans" w:hAnsi="Adwaita Sans"/>
        </w:rPr>
      </w:pPr>
      <w:r>
        <w:rPr>
          <w:rFonts w:ascii="Adwaita Sans" w:hAnsi="Adwaita Sans"/>
        </w:rPr>
      </w:r>
    </w:p>
    <w:p>
      <w:pPr>
        <w:pStyle w:val="Title"/>
        <w:rPr>
          <w:rFonts w:ascii="Adwaita Sans" w:hAnsi="Adwaita Sans"/>
        </w:rPr>
      </w:pPr>
      <w:bookmarkStart w:id="2" w:name="docs-internal-guid-255404e9-7fff-4a4b-60"/>
      <w:bookmarkEnd w:id="2"/>
      <w:r>
        <w:rPr>
          <w:rFonts w:ascii="Adwaita Sans" w:hAnsi="Adwaita Sans"/>
          <w:sz w:val="44"/>
          <w:szCs w:val="44"/>
        </w:rPr>
        <w:t>Isidro J Gallardo Navarro</w:t>
      </w:r>
    </w:p>
    <w:p>
      <w:pPr>
        <w:pStyle w:val="Title"/>
        <w:rPr>
          <w:rFonts w:ascii="Adwaita Sans" w:hAnsi="Adwaita Sans"/>
        </w:rPr>
      </w:pPr>
      <w:r>
        <w:rPr>
          <w:rFonts w:ascii="Adwaita Sans" w:hAnsi="Adwaita Sans"/>
          <w:sz w:val="44"/>
          <w:szCs w:val="44"/>
        </w:rPr>
        <w:t> </w:t>
      </w:r>
    </w:p>
    <w:p>
      <w:pPr>
        <w:pStyle w:val="Title"/>
        <w:rPr>
          <w:rFonts w:ascii="Adwaita Sans" w:hAnsi="Adwaita Sans"/>
        </w:rPr>
      </w:pPr>
      <w:r>
        <w:rPr>
          <w:rFonts w:ascii="Adwaita Sans" w:hAnsi="Adwaita Sans"/>
          <w:sz w:val="44"/>
          <w:szCs w:val="44"/>
        </w:rPr>
        <w:t>Ficha:3070299</w:t>
      </w:r>
    </w:p>
    <w:p>
      <w:pPr>
        <w:pStyle w:val="Title"/>
        <w:rPr>
          <w:rFonts w:ascii="Adwaita Sans" w:hAnsi="Adwaita Sans"/>
        </w:rPr>
      </w:pPr>
      <w:r>
        <w:rPr>
          <w:rFonts w:ascii="Adwaita Sans" w:hAnsi="Adwaita Sans"/>
          <w:sz w:val="44"/>
          <w:szCs w:val="44"/>
        </w:rPr>
        <w:t> </w:t>
      </w:r>
      <w:r>
        <w:rPr>
          <w:rFonts w:ascii="Adwaita Sans" w:hAnsi="Adwaita Sans"/>
          <w:sz w:val="44"/>
          <w:szCs w:val="44"/>
        </w:rPr>
        <w:t>2025</w:t>
      </w:r>
      <w:r>
        <w:rPr>
          <w:rFonts w:ascii="Adwaita Sans" w:hAnsi="Adwaita Sans"/>
          <w:b w:val="false"/>
          <w:i w:val="false"/>
          <w:sz w:val="44"/>
          <w:szCs w:val="44"/>
        </w:rPr>
        <w:t> </w:t>
      </w:r>
    </w:p>
    <w:p>
      <w:pPr>
        <w:pStyle w:val="Title"/>
        <w:rPr>
          <w:rFonts w:ascii="Adwaita Sans" w:hAnsi="Adwaita Sans"/>
        </w:rPr>
      </w:pPr>
      <w:r>
        <w:rPr>
          <w:rFonts w:ascii="Adwaita Sans" w:hAnsi="Adwaita Sans"/>
          <w:b w:val="false"/>
          <w:i w:val="false"/>
          <w:sz w:val="44"/>
          <w:szCs w:val="44"/>
        </w:rPr>
        <w:t> </w:t>
      </w:r>
    </w:p>
    <w:p>
      <w:pPr>
        <w:pStyle w:val="Title"/>
        <w:rPr>
          <w:rFonts w:ascii="Adwaita Sans" w:hAnsi="Adwaita Sans"/>
        </w:rPr>
      </w:pPr>
      <w:r>
        <w:rPr>
          <w:rFonts w:ascii="Adwaita Sans" w:hAnsi="Adwaita Sans"/>
          <w:sz w:val="44"/>
          <w:szCs w:val="44"/>
        </w:rPr>
        <w:t>Tecnología en Análisis y Desarrollo de Software.</w:t>
      </w:r>
    </w:p>
    <w:p>
      <w:pPr>
        <w:pStyle w:val="Title"/>
        <w:rPr>
          <w:rFonts w:ascii="Adwaita Sans" w:hAnsi="Adwaita Sans"/>
        </w:rPr>
      </w:pPr>
      <w:bookmarkStart w:id="3" w:name="__DdeLink__484_3751743897"/>
      <w:bookmarkStart w:id="4" w:name="__DdeLink__308_1991315243"/>
      <w:bookmarkStart w:id="5" w:name="__DdeLink__312_1991315243"/>
      <w:r>
        <w:rPr>
          <w:rFonts w:eastAsia="Noto Sans Mono CJK SC" w:cs="Liberation Mono" w:ascii="Adwaita Sans" w:hAnsi="Adwaita Sans"/>
          <w:sz w:val="44"/>
          <w:szCs w:val="44"/>
        </w:rPr>
        <w:t>ADSO</w:t>
      </w:r>
      <w:bookmarkEnd w:id="3"/>
      <w:bookmarkEnd w:id="4"/>
      <w:bookmarkEnd w:id="5"/>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both"/>
        <w:rPr>
          <w:rFonts w:ascii="Adwaita Sans" w:hAnsi="Adwaita Sans"/>
        </w:rPr>
      </w:pPr>
      <w:r>
        <w:rPr>
          <w:rFonts w:ascii="Adwaita Sans" w:hAnsi="Adwaita Sans"/>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b/>
          <w:bCs/>
          <w:sz w:val="28"/>
          <w:szCs w:val="28"/>
        </w:rPr>
      </w:pPr>
      <w:r>
        <w:rPr>
          <w:rFonts w:ascii="Adwaita Sans" w:hAnsi="Adwaita Sans"/>
          <w:b/>
          <w:bCs/>
          <w:sz w:val="28"/>
          <w:szCs w:val="28"/>
        </w:rPr>
        <w:t>Introduction</w:t>
      </w:r>
    </w:p>
    <w:p>
      <w:pPr>
        <w:pStyle w:val="PreformattedText"/>
        <w:bidi w:val="0"/>
        <w:spacing w:lineRule="auto" w:line="360" w:before="0" w:after="0"/>
        <w:jc w:val="both"/>
        <w:rPr>
          <w:rFonts w:ascii="Adwaita Sans" w:hAnsi="Adwaita Sans"/>
          <w:b/>
          <w:bCs/>
          <w:sz w:val="28"/>
          <w:szCs w:val="28"/>
        </w:rPr>
      </w:pPr>
      <w:r>
        <w:rPr>
          <w:rFonts w:ascii="Adwaita Sans" w:hAnsi="Adwaita Sans"/>
          <w:b/>
          <w:bCs/>
          <w:sz w:val="28"/>
          <w:szCs w:val="28"/>
        </w:rPr>
        <w:t>Title: Introduction to the Full-Stack Developer Daily Workflow Flowchart</w:t>
      </w:r>
    </w:p>
    <w:p>
      <w:pPr>
        <w:pStyle w:val="PreformattedText"/>
        <w:bidi w:val="0"/>
        <w:spacing w:lineRule="auto" w:line="360" w:before="0" w:after="0"/>
        <w:jc w:val="both"/>
        <w:rPr>
          <w:rFonts w:ascii="Adwaita Sans" w:hAnsi="Adwaita Sans"/>
          <w:b w:val="false"/>
          <w:bCs w:val="false"/>
          <w:sz w:val="22"/>
          <w:szCs w:val="22"/>
        </w:rPr>
      </w:pPr>
      <w:r>
        <w:rPr>
          <w:rFonts w:ascii="Adwaita Sans" w:hAnsi="Adwaita Sans"/>
          <w:b w:val="false"/>
          <w:bCs w:val="false"/>
          <w:sz w:val="22"/>
          <w:szCs w:val="22"/>
        </w:rPr>
        <w:t>This document present the flowchart of the Full-Stack Developer Daily Workflow, which outlines the essential introductions and procedures of a profesional day, speaifically focusing on the processes utilized within the PeakU enviroment. The flowchart is a traditional graphic tool employed to visually identify and analize a product or academic process.</w:t>
      </w:r>
    </w:p>
    <w:p>
      <w:pPr>
        <w:pStyle w:val="PreformattedText"/>
        <w:bidi w:val="0"/>
        <w:spacing w:lineRule="auto" w:line="360" w:before="0" w:after="0"/>
        <w:jc w:val="both"/>
        <w:rPr>
          <w:rFonts w:ascii="Adwaita Sans" w:hAnsi="Adwaita Sans"/>
          <w:b w:val="false"/>
          <w:bCs w:val="false"/>
          <w:sz w:val="22"/>
          <w:szCs w:val="22"/>
        </w:rPr>
      </w:pPr>
      <w:r>
        <w:rPr>
          <w:rFonts w:ascii="Adwaita Sans" w:hAnsi="Adwaita Sans"/>
          <w:b w:val="false"/>
          <w:bCs w:val="false"/>
          <w:sz w:val="22"/>
          <w:szCs w:val="22"/>
        </w:rPr>
        <w:t>The main objetive of this visualization is to accurately represent the sequential flow of tasks, from the morning start to the excecution of assigned develope</w:t>
      </w:r>
      <w:r>
        <w:rPr>
          <w:rFonts w:ascii="Adwaita Sans" w:hAnsi="Adwaita Sans"/>
          <w:b w:val="false"/>
          <w:bCs w:val="false"/>
          <w:sz w:val="22"/>
          <w:szCs w:val="22"/>
        </w:rPr>
        <w:t>ment activities. The process includes key stages such as managing urgent communications, handling meeting conflicts, and executing crucial pre-meeting technical steps, like lauching the Front-end and Back-end on local environment, performing database migrations, and conducting a pull to the main repository.</w:t>
      </w:r>
    </w:p>
    <w:p>
      <w:pPr>
        <w:pStyle w:val="PreformattedText"/>
        <w:bidi w:val="0"/>
        <w:spacing w:lineRule="auto" w:line="360" w:before="0" w:after="0"/>
        <w:jc w:val="both"/>
        <w:rPr>
          <w:rFonts w:ascii="Adwaita Sans" w:hAnsi="Adwaita Sans"/>
          <w:b w:val="false"/>
          <w:bCs w:val="false"/>
          <w:sz w:val="22"/>
          <w:szCs w:val="22"/>
        </w:rPr>
      </w:pPr>
      <w:r>
        <w:rPr>
          <w:rFonts w:ascii="Adwaita Sans" w:hAnsi="Adwaita Sans"/>
          <w:b w:val="false"/>
          <w:bCs w:val="false"/>
          <w:sz w:val="22"/>
          <w:szCs w:val="22"/>
        </w:rPr>
        <w:t>The diagram is constructed to trace the process with precision and ensure it reflects the most efficent way to conduct daily work. This endeavor emphasizes the application of appropriate technical vocabulary and a correct structure inthe inglish language, as requiered for clear international cummunication.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drawing>
          <wp:anchor behindDoc="0" distT="0" distB="0" distL="0" distR="0" simplePos="0" locked="0" layoutInCell="0" allowOverlap="1" relativeHeight="3">
            <wp:simplePos x="0" y="0"/>
            <wp:positionH relativeFrom="column">
              <wp:posOffset>-129540</wp:posOffset>
            </wp:positionH>
            <wp:positionV relativeFrom="paragraph">
              <wp:posOffset>-23495</wp:posOffset>
            </wp:positionV>
            <wp:extent cx="6332220" cy="779716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332220" cy="7797165"/>
                    </a:xfrm>
                    <a:prstGeom prst="rect">
                      <a:avLst/>
                    </a:prstGeom>
                    <a:noFill/>
                  </pic:spPr>
                </pic:pic>
              </a:graphicData>
            </a:graphic>
          </wp:anchor>
        </w:drawing>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b/>
          <w:bCs/>
          <w:sz w:val="28"/>
          <w:szCs w:val="28"/>
        </w:rPr>
      </w:pPr>
      <w:r>
        <w:rPr>
          <w:rFonts w:ascii="Adwaita Sans" w:hAnsi="Adwaita Sans"/>
          <w:b/>
          <w:bCs/>
          <w:sz w:val="28"/>
          <w:szCs w:val="28"/>
        </w:rPr>
        <w:t>Conclusion</w:t>
      </w:r>
    </w:p>
    <w:p>
      <w:pPr>
        <w:pStyle w:val="PreformattedText"/>
        <w:bidi w:val="0"/>
        <w:spacing w:lineRule="auto" w:line="360" w:before="0" w:after="0"/>
        <w:jc w:val="both"/>
        <w:rPr>
          <w:rFonts w:ascii="Adwaita Sans" w:hAnsi="Adwaita Sans"/>
          <w:b w:val="false"/>
          <w:bCs w:val="false"/>
          <w:sz w:val="22"/>
          <w:szCs w:val="22"/>
        </w:rPr>
      </w:pPr>
      <w:r>
        <w:rPr>
          <w:rFonts w:ascii="Adwaita Sans" w:hAnsi="Adwaita Sans"/>
          <w:b w:val="false"/>
          <w:bCs w:val="false"/>
          <w:sz w:val="22"/>
          <w:szCs w:val="22"/>
        </w:rPr>
        <w:t>The resulting flowchart serves as an accurate and comprehensive visual summary of the Full-Stack Developer’s daily routine. By mapping the workflow, we have clearly established the chronological order of activities highlighting the integration of communications managent (urgent emails and meeting scheduling) with critical development procedures.</w:t>
      </w:r>
    </w:p>
    <w:p>
      <w:pPr>
        <w:pStyle w:val="PreformattedText"/>
        <w:bidi w:val="0"/>
        <w:spacing w:lineRule="auto" w:line="360" w:before="0" w:after="0"/>
        <w:jc w:val="both"/>
        <w:rPr>
          <w:rFonts w:ascii="Adwaita Sans" w:hAnsi="Adwaita Sans"/>
          <w:b w:val="false"/>
          <w:bCs w:val="false"/>
          <w:sz w:val="22"/>
          <w:szCs w:val="22"/>
        </w:rPr>
      </w:pPr>
      <w:r>
        <w:rPr>
          <w:rFonts w:ascii="Adwaita Sans" w:hAnsi="Adwaita Sans"/>
          <w:b w:val="false"/>
          <w:bCs w:val="false"/>
          <w:sz w:val="22"/>
          <w:szCs w:val="22"/>
        </w:rPr>
        <w:t xml:space="preserve">The diagram successfully shows the logical steps necessary to prepare the local enviroment, including the mandatory checks for errors after repository updates, which are reportes during the </w:t>
      </w:r>
      <w:r>
        <w:rPr>
          <w:rFonts w:ascii="Adwaita Sans" w:hAnsi="Adwaita Sans"/>
          <w:b/>
          <w:bCs/>
          <w:sz w:val="22"/>
          <w:szCs w:val="22"/>
        </w:rPr>
        <w:t xml:space="preserve">daily Scrum meeting. </w:t>
      </w:r>
      <w:r>
        <w:rPr>
          <w:rFonts w:ascii="Adwaita Sans" w:hAnsi="Adwaita Sans"/>
          <w:b w:val="false"/>
          <w:bCs w:val="false"/>
          <w:sz w:val="22"/>
          <w:szCs w:val="22"/>
        </w:rPr>
        <w:t>This systematic approach ensures efficient task execution and adherence to team methodologies.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In conclusion, the effectivie use of a flowchart, combined with clear, concise messaging and precise technical vocabulary in English, provides a reliable framework for understanding and optimizing the professional workload, facilitating the organized transition from daily preparation to actively addresing assigned development tasks.</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Adwaita Sans">
    <w:charset w:val="01" w:characterSet="utf-8"/>
    <w:family w:val="swiss"/>
    <w:pitch w:val="variable"/>
  </w:font>
</w:fonts>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CO"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Noto Sans Devanagari"/>
      <w:color w:val="auto"/>
      <w:kern w:val="0"/>
      <w:sz w:val="24"/>
      <w:szCs w:val="24"/>
      <w:lang w:val="es-CO"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2584</TotalTime>
  <Application>LibreOffice/25.2.6.2$Linux_X86_64 LibreOffice_project/520$Build-2</Application>
  <AppVersion>15.0000</AppVersion>
  <Pages>5</Pages>
  <Words>329</Words>
  <Characters>2100</Characters>
  <CharactersWithSpaces>2418</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es-CO</dc:language>
  <cp:lastModifiedBy/>
  <cp:lastPrinted>2025-10-14T20:36:39Z</cp:lastPrinted>
  <dcterms:modified xsi:type="dcterms:W3CDTF">2025-10-15T00:55:30Z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