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40" w:after="120"/>
        <w:jc w:val="center"/>
        <w:rPr>
          <w:rFonts w:ascii="Adwaita Sans" w:hAnsi="Adwaita Sans"/>
          <w:b/>
          <w:bCs/>
          <w:sz w:val="44"/>
          <w:szCs w:val="44"/>
        </w:rPr>
      </w:pPr>
      <w:r>
        <w:rPr/>
      </w:r>
      <w:bookmarkStart w:id="0" w:name="__DdeLink__484_3751743897"/>
      <w:bookmarkStart w:id="1" w:name="__DdeLink__484_3751743897"/>
    </w:p>
    <w:p>
      <w:pPr>
        <w:pStyle w:val="Title"/>
        <w:rPr>
          <w:sz w:val="36"/>
          <w:szCs w:val="36"/>
        </w:rPr>
      </w:pPr>
      <w:r>
        <w:rPr>
          <w:sz w:val="36"/>
          <w:szCs w:val="36"/>
        </w:rPr>
        <w:t>GA6-220501096-AA4-EV01: Fundamentos en la implementación de componentes frontend, HTML, CSS, JS</w:t>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Title"/>
        <w:rPr>
          <w:rFonts w:ascii="Adwaita Sans" w:hAnsi="Adwaita Sans"/>
        </w:rPr>
      </w:pPr>
      <w:bookmarkStart w:id="2" w:name="docs-internal-guid-255404e9-7fff-4a4b-60"/>
      <w:bookmarkEnd w:id="2"/>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w:t>
      </w:r>
      <w:r>
        <w:rPr>
          <w:rFonts w:ascii="Adwaita Sans" w:hAnsi="Adwaita Sans"/>
          <w:sz w:val="44"/>
          <w:szCs w:val="44"/>
        </w:rPr>
        <w:t>6</w:t>
      </w:r>
      <w:r>
        <w:rPr>
          <w:rFonts w:ascii="Adwaita Sans" w:hAnsi="Adwaita Sans"/>
          <w:b w:val="false"/>
          <w:i w:val="false"/>
          <w:sz w:val="44"/>
          <w:szCs w:val="44"/>
        </w:rPr>
        <w:t> </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3" w:name="__DdeLink__484_3751743897"/>
      <w:bookmarkStart w:id="4" w:name="__DdeLink__312_1991315243"/>
      <w:bookmarkStart w:id="5" w:name="__DdeLink__308_1991315243"/>
      <w:r>
        <w:rPr>
          <w:rFonts w:eastAsia="Noto Sans Mono CJK SC" w:cs="Liberation Mono" w:ascii="Adwaita Sans" w:hAnsi="Adwaita Sans"/>
          <w:sz w:val="44"/>
          <w:szCs w:val="44"/>
        </w:rPr>
        <w:t>ADSO</w:t>
      </w:r>
      <w:bookmarkEnd w:id="3"/>
      <w:bookmarkEnd w:id="4"/>
      <w:bookmarkEnd w:id="5"/>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Introducción</w:t>
      </w:r>
    </w:p>
    <w:p>
      <w:pPr>
        <w:pStyle w:val="PreformattedText"/>
        <w:bidi w:val="0"/>
        <w:spacing w:before="0" w:after="0"/>
        <w:jc w:val="start"/>
        <w:rPr>
          <w:rFonts w:ascii="Adwaita Sans" w:hAnsi="Adwaita Sans"/>
        </w:rPr>
      </w:pPr>
      <w:r>
        <w:rPr>
          <w:rFonts w:ascii="Adwaita Sans" w:hAnsi="Adwaita Sans"/>
          <w:sz w:val="22"/>
          <w:szCs w:val="22"/>
        </w:rPr>
        <w:t>El desarrollo frontend es esencial para materializar la experiencia de usuario definida en el proyecto Censo Rural, ya que transforma requisitos y flujos de interacción en interfaces navegables, accesibles y consistentes. En Extreme Programming (XP), los ciclos cortos y la retroalimentación continua favorecen entregas frecuentes de módulos funcionales independientes (por ejemplo, una navbar, tarjetas de contenido o formularios), lo que facilita validar decisiones de diseño con usuarios reales y ajustar rápidamente antes de invertir en desarrollo de mayor costo. En este tutorial, se presenta una página web didáctica que demuestra cómo estructurar HTML semántico, aplicar CSS con variables del sistema de diseño del proyecto y agregar JavaScript básico para la interactividad, priorizando usabilidad y accesibilidad.</w:t>
      </w:r>
    </w:p>
    <w:p>
      <w:pPr>
        <w:pStyle w:val="PreformattedText"/>
        <w:bidi w:val="0"/>
        <w:spacing w:before="0" w:after="0"/>
        <w:jc w:val="start"/>
        <w:rPr>
          <w:rFonts w:ascii="Adwaita Sans" w:hAnsi="Adwaita Sans"/>
        </w:rPr>
      </w:pPr>
      <w:r>
        <w:rPr>
          <w:rFonts w:ascii="Adwaita Sans" w:hAnsi="Adwaita Sans"/>
          <w:sz w:val="22"/>
          <w:szCs w:val="22"/>
        </w:rPr>
        <w:t>Selección del tema del tutorial</w:t>
      </w:r>
    </w:p>
    <w:p>
      <w:pPr>
        <w:pStyle w:val="PreformattedText"/>
        <w:bidi w:val="0"/>
        <w:spacing w:before="0" w:after="0"/>
        <w:jc w:val="start"/>
        <w:rPr>
          <w:rFonts w:ascii="Adwaita Sans" w:hAnsi="Adwaita Sans"/>
        </w:rPr>
      </w:pPr>
      <w:r>
        <w:rPr>
          <w:rFonts w:ascii="Adwaita Sans" w:hAnsi="Adwaita Sans"/>
          <w:sz w:val="22"/>
          <w:szCs w:val="22"/>
        </w:rPr>
        <w:t>Para mantener coherencia con el dominio, el tutorial elegido es:</w:t>
      </w:r>
    </w:p>
    <w:p>
      <w:pPr>
        <w:pStyle w:val="PreformattedText"/>
        <w:bidi w:val="0"/>
        <w:spacing w:before="0" w:after="0"/>
        <w:jc w:val="start"/>
        <w:rPr>
          <w:rFonts w:ascii="Adwaita Sans" w:hAnsi="Adwaita Sans"/>
        </w:rPr>
      </w:pPr>
      <w:r>
        <w:rPr>
          <w:rFonts w:ascii="Adwaita Sans" w:hAnsi="Adwaita Sans"/>
          <w:sz w:val="22"/>
          <w:szCs w:val="22"/>
        </w:rPr>
        <w:t>“</w:t>
      </w:r>
      <w:r>
        <w:rPr>
          <w:rFonts w:ascii="Adwaita Sans" w:hAnsi="Adwaita Sans"/>
          <w:sz w:val="22"/>
          <w:szCs w:val="22"/>
        </w:rPr>
        <w:t>Guía de capacitación digital Censo Rural: componentes base (Navbar, Cards y Paso a paso)”.</w:t>
      </w:r>
    </w:p>
    <w:p>
      <w:pPr>
        <w:pStyle w:val="PreformattedText"/>
        <w:bidi w:val="0"/>
        <w:spacing w:before="0" w:after="0"/>
        <w:jc w:val="start"/>
        <w:rPr>
          <w:rFonts w:ascii="Adwaita Sans" w:hAnsi="Adwaita Sans"/>
        </w:rPr>
      </w:pPr>
      <w:r>
        <w:rPr>
          <w:rFonts w:ascii="Adwaita Sans" w:hAnsi="Adwaita Sans"/>
          <w:sz w:val="22"/>
          <w:szCs w:val="22"/>
        </w:rPr>
        <w:t>Este tutorial servirá como referencia rápida para encuestadores y personal de apoyo, mostrando patrones reutilizables que se integrarán en la aplicación de captura y en el repositorio de información.</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II. Estructura del documento HTML (esqueleto)</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Objetivo: Definir un HTML semántico con un encabezado (&lt;header&gt;), un índice como lista ordenada (&lt;ol&gt;) con enlaces internos (&lt;a&gt;) y secciones (&lt;section&gt;) por concepto.</w:t>
      </w:r>
    </w:p>
    <w:p>
      <w:pPr>
        <w:pStyle w:val="PreformattedText"/>
        <w:bidi w:val="0"/>
        <w:spacing w:before="0" w:after="0"/>
        <w:jc w:val="start"/>
        <w:rPr>
          <w:rFonts w:ascii="Adwaita Sans" w:hAnsi="Adwaita Sans"/>
        </w:rPr>
      </w:pPr>
      <w:r>
        <w:rPr>
          <w:rFonts w:ascii="Adwaita Sans" w:hAnsi="Adwaita Sans"/>
          <w:sz w:val="22"/>
          <w:szCs w:val="22"/>
        </w:rPr>
        <w:t>Accesibilidad: Usa lang="es" en &lt;html&gt;, títulos claros, orden de lectura lógico y texto alternativo para imágenes (se insertarán luego).</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1. Encabezado (&lt;header&gt;)</w:t>
      </w:r>
    </w:p>
    <w:p>
      <w:pPr>
        <w:pStyle w:val="PreformattedText"/>
        <w:bidi w:val="0"/>
        <w:spacing w:before="0" w:after="0"/>
        <w:jc w:val="start"/>
        <w:rPr>
          <w:rFonts w:ascii="Adwaita Sans" w:hAnsi="Adwaita Sans"/>
        </w:rPr>
      </w:pPr>
      <w:r>
        <w:rPr>
          <w:rFonts w:ascii="Adwaita Sans" w:hAnsi="Adwaita Sans"/>
          <w:sz w:val="22"/>
          <w:szCs w:val="22"/>
        </w:rPr>
        <w:t>Contendrá el título principal del tutorial y la barra de navegación mínima.</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“Vista del encabezado y navegación”]</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2. Lista ordenada (&lt;ol&gt;) — Índice de conceptos</w:t>
      </w:r>
    </w:p>
    <w:p>
      <w:pPr>
        <w:pStyle w:val="PreformattedText"/>
        <w:bidi w:val="0"/>
        <w:spacing w:before="0" w:after="0"/>
        <w:jc w:val="start"/>
        <w:rPr>
          <w:rFonts w:ascii="Adwaita Sans" w:hAnsi="Adwaita Sans"/>
        </w:rPr>
      </w:pPr>
      <w:r>
        <w:rPr>
          <w:rFonts w:ascii="Adwaita Sans" w:hAnsi="Adwaita Sans"/>
          <w:sz w:val="22"/>
          <w:szCs w:val="22"/>
        </w:rPr>
        <w:t>Incluye un índice con anclas hacia cada sección.</w:t>
      </w:r>
    </w:p>
    <w:p>
      <w:pPr>
        <w:pStyle w:val="PreformattedText"/>
        <w:bidi w:val="0"/>
        <w:spacing w:before="0" w:after="0"/>
        <w:jc w:val="start"/>
        <w:rPr>
          <w:rFonts w:ascii="Adwaita Sans" w:hAnsi="Adwaita Sans"/>
        </w:rPr>
      </w:pPr>
      <w:r>
        <w:rPr>
          <w:rFonts w:ascii="Adwaita Sans" w:hAnsi="Adwaita Sans"/>
          <w:sz w:val="22"/>
          <w:szCs w:val="22"/>
        </w:rPr>
        <w:t>Ejemplo de entradas: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Introducción al sistema de diseño</w:t>
      </w:r>
    </w:p>
    <w:p>
      <w:pPr>
        <w:pStyle w:val="PreformattedText"/>
        <w:bidi w:val="0"/>
        <w:spacing w:before="0" w:after="0"/>
        <w:jc w:val="start"/>
        <w:rPr>
          <w:rFonts w:ascii="Adwaita Sans" w:hAnsi="Adwaita Sans"/>
        </w:rPr>
      </w:pPr>
      <w:r>
        <w:rPr>
          <w:rFonts w:ascii="Adwaita Sans" w:hAnsi="Adwaita Sans"/>
          <w:sz w:val="22"/>
          <w:szCs w:val="22"/>
        </w:rPr>
        <w:t>Navbar con estados</w:t>
      </w:r>
    </w:p>
    <w:p>
      <w:pPr>
        <w:pStyle w:val="PreformattedText"/>
        <w:bidi w:val="0"/>
        <w:spacing w:before="0" w:after="0"/>
        <w:jc w:val="start"/>
        <w:rPr>
          <w:rFonts w:ascii="Adwaita Sans" w:hAnsi="Adwaita Sans"/>
        </w:rPr>
      </w:pPr>
      <w:r>
        <w:rPr>
          <w:rFonts w:ascii="Adwaita Sans" w:hAnsi="Adwaita Sans"/>
          <w:sz w:val="22"/>
          <w:szCs w:val="22"/>
        </w:rPr>
        <w:t>Tarjetas (cards) de subtemas</w:t>
      </w:r>
    </w:p>
    <w:p>
      <w:pPr>
        <w:pStyle w:val="PreformattedText"/>
        <w:bidi w:val="0"/>
        <w:spacing w:before="0" w:after="0"/>
        <w:jc w:val="start"/>
        <w:rPr>
          <w:rFonts w:ascii="Adwaita Sans" w:hAnsi="Adwaita Sans"/>
        </w:rPr>
      </w:pPr>
      <w:r>
        <w:rPr>
          <w:rFonts w:ascii="Adwaita Sans" w:hAnsi="Adwaita Sans"/>
          <w:sz w:val="22"/>
          <w:szCs w:val="22"/>
        </w:rPr>
        <w:t>Pasos del tutorial con lista estilizada</w:t>
      </w:r>
    </w:p>
    <w:p>
      <w:pPr>
        <w:pStyle w:val="PreformattedText"/>
        <w:bidi w:val="0"/>
        <w:spacing w:before="0" w:after="0"/>
        <w:jc w:val="start"/>
        <w:rPr>
          <w:rFonts w:ascii="Adwaita Sans" w:hAnsi="Adwaita Sans"/>
        </w:rPr>
      </w:pPr>
      <w:r>
        <w:rPr>
          <w:rFonts w:ascii="Adwaita Sans" w:hAnsi="Adwaita Sans"/>
          <w:sz w:val="22"/>
          <w:szCs w:val="22"/>
        </w:rPr>
        <w:t>Activación de modo oscuro</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“Índice del tutorial”]</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3. Enlaces internos (&lt;a&gt;)</w:t>
      </w:r>
    </w:p>
    <w:p>
      <w:pPr>
        <w:pStyle w:val="PreformattedText"/>
        <w:bidi w:val="0"/>
        <w:spacing w:before="0" w:after="0"/>
        <w:jc w:val="start"/>
        <w:rPr>
          <w:rFonts w:ascii="Adwaita Sans" w:hAnsi="Adwaita Sans"/>
        </w:rPr>
      </w:pPr>
      <w:r>
        <w:rPr>
          <w:rFonts w:ascii="Adwaita Sans" w:hAnsi="Adwaita Sans"/>
          <w:sz w:val="22"/>
          <w:szCs w:val="22"/>
        </w:rPr>
        <w:t>Cada ítem del índice enlaza a su sección con href="#id-de-seccion". Esto permite navegación rápida y mejora la encontrabilidad del contenido.</w:t>
      </w:r>
    </w:p>
    <w:p>
      <w:pPr>
        <w:pStyle w:val="PreformattedText"/>
        <w:bidi w:val="0"/>
        <w:spacing w:before="0" w:after="0"/>
        <w:jc w:val="start"/>
        <w:rPr>
          <w:rFonts w:ascii="Adwaita Sans" w:hAnsi="Adwaita Sans"/>
        </w:rPr>
      </w:pPr>
      <w:r>
        <w:rPr>
          <w:rFonts w:ascii="Adwaita Sans" w:hAnsi="Adwaita Sans"/>
          <w:sz w:val="22"/>
          <w:szCs w:val="22"/>
        </w:rPr>
        <w:t>4. Secciones de contenido (&lt;section&gt;)</w:t>
      </w:r>
    </w:p>
    <w:p>
      <w:pPr>
        <w:pStyle w:val="PreformattedText"/>
        <w:bidi w:val="0"/>
        <w:spacing w:before="0" w:after="0"/>
        <w:jc w:val="start"/>
        <w:rPr>
          <w:rFonts w:ascii="Adwaita Sans" w:hAnsi="Adwaita Sans"/>
        </w:rPr>
      </w:pPr>
      <w:r>
        <w:rPr>
          <w:rFonts w:ascii="Adwaita Sans" w:hAnsi="Adwaita Sans"/>
          <w:sz w:val="22"/>
          <w:szCs w:val="22"/>
        </w:rPr>
        <w:t>Para cada concepto, incluye: título del subtema, imagen descriptiva (a insertar más adelante) y descripción clara.</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2.1. Introducción al sistema de diseño</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“Paleta y tokens del diseño”]</w:t>
      </w:r>
    </w:p>
    <w:p>
      <w:pPr>
        <w:pStyle w:val="PreformattedText"/>
        <w:bidi w:val="0"/>
        <w:spacing w:before="0" w:after="0"/>
        <w:jc w:val="start"/>
        <w:rPr>
          <w:rFonts w:ascii="Adwaita Sans" w:hAnsi="Adwaita Sans"/>
        </w:rPr>
      </w:pPr>
      <w:r>
        <w:rPr>
          <w:rFonts w:ascii="Adwaita Sans" w:hAnsi="Adwaita Sans"/>
          <w:sz w:val="22"/>
          <w:szCs w:val="22"/>
        </w:rPr>
        <w:t>Explica el uso de variables CSS institucionales y cómo aseguran consistencia visual entre pantallas.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2.2. Navbar con estados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“Navbar con item activo y desenfoque”]</w:t>
      </w:r>
    </w:p>
    <w:p>
      <w:pPr>
        <w:pStyle w:val="PreformattedText"/>
        <w:bidi w:val="0"/>
        <w:spacing w:before="0" w:after="0"/>
        <w:jc w:val="start"/>
        <w:rPr>
          <w:rFonts w:ascii="Adwaita Sans" w:hAnsi="Adwaita Sans"/>
        </w:rPr>
      </w:pPr>
      <w:r>
        <w:rPr>
          <w:rFonts w:ascii="Adwaita Sans" w:hAnsi="Adwaita Sans"/>
          <w:sz w:val="22"/>
          <w:szCs w:val="22"/>
        </w:rPr>
        <w:t>Describe estructura semántica, foco visible, y estados hover/active.</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2.3. Tarjetas (cards) de subtemas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“Grid de cards”]</w:t>
      </w:r>
    </w:p>
    <w:p>
      <w:pPr>
        <w:pStyle w:val="PreformattedText"/>
        <w:bidi w:val="0"/>
        <w:spacing w:before="0" w:after="0"/>
        <w:jc w:val="start"/>
        <w:rPr>
          <w:rFonts w:ascii="Adwaita Sans" w:hAnsi="Adwaita Sans"/>
        </w:rPr>
      </w:pPr>
      <w:r>
        <w:rPr>
          <w:rFonts w:ascii="Adwaita Sans" w:hAnsi="Adwaita Sans"/>
          <w:sz w:val="22"/>
          <w:szCs w:val="22"/>
        </w:rPr>
        <w:t>Presentan subtemas con título, breve descripción y enlace “Ver más”.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2.4. Pasos del tutorial con lista estilizada</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“Lista ordenada con círculos numerados”]</w:t>
      </w:r>
    </w:p>
    <w:p>
      <w:pPr>
        <w:pStyle w:val="PreformattedText"/>
        <w:bidi w:val="0"/>
        <w:spacing w:before="0" w:after="0"/>
        <w:jc w:val="start"/>
        <w:rPr>
          <w:rFonts w:ascii="Adwaita Sans" w:hAnsi="Adwaita Sans"/>
        </w:rPr>
      </w:pPr>
      <w:r>
        <w:rPr>
          <w:rFonts w:ascii="Adwaita Sans" w:hAnsi="Adwaita Sans"/>
          <w:sz w:val="22"/>
          <w:szCs w:val="22"/>
        </w:rPr>
        <w:t>Muestra la clase .steps aplicada sobre &lt;ol&gt; para guiar tareas.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2.5. Activación de modo oscuro</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“Interruptor de modo oscuro”]</w:t>
      </w:r>
    </w:p>
    <w:p>
      <w:pPr>
        <w:pStyle w:val="PreformattedText"/>
        <w:bidi w:val="0"/>
        <w:spacing w:before="0" w:after="0"/>
        <w:jc w:val="start"/>
        <w:rPr>
          <w:rFonts w:ascii="Adwaita Sans" w:hAnsi="Adwaita Sans"/>
        </w:rPr>
      </w:pPr>
      <w:r>
        <w:rPr>
          <w:rFonts w:ascii="Adwaita Sans" w:hAnsi="Adwaita Sans"/>
          <w:sz w:val="22"/>
          <w:szCs w:val="22"/>
        </w:rPr>
        <w:t>Explica el toggle (OS/usuario) y persistencia simple en localStorage.</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III. Diseño y estilos CSS (basado en code.txt)</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Criterios: Variables del sistema de diseño, componentes reutilizables y lineamientos de accesibilidad.</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1. Variables del sistema de diseño</w:t>
      </w:r>
    </w:p>
    <w:p>
      <w:pPr>
        <w:pStyle w:val="PreformattedText"/>
        <w:bidi w:val="0"/>
        <w:spacing w:before="0" w:after="0"/>
        <w:jc w:val="start"/>
        <w:rPr>
          <w:rFonts w:ascii="Adwaita Sans" w:hAnsi="Adwaita Sans"/>
        </w:rPr>
      </w:pPr>
      <w:r>
        <w:rPr>
          <w:rFonts w:ascii="Adwaita Sans" w:hAnsi="Adwaita Sans"/>
          <w:sz w:val="22"/>
          <w:szCs w:val="22"/>
        </w:rPr>
        <w:t>Definir en :root:</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--primary: #60a5fa (Azul de acción)</w:t>
      </w:r>
    </w:p>
    <w:p>
      <w:pPr>
        <w:pStyle w:val="PreformattedText"/>
        <w:bidi w:val="0"/>
        <w:spacing w:before="0" w:after="0"/>
        <w:jc w:val="start"/>
        <w:rPr>
          <w:rFonts w:ascii="Adwaita Sans" w:hAnsi="Adwaita Sans"/>
        </w:rPr>
      </w:pPr>
      <w:r>
        <w:rPr>
          <w:rFonts w:ascii="Adwaita Sans" w:hAnsi="Adwaita Sans"/>
          <w:sz w:val="22"/>
          <w:szCs w:val="22"/>
        </w:rPr>
        <w:t>--bg: #0b0f17 (Fondo oscuro para legibilidad)</w:t>
      </w:r>
    </w:p>
    <w:p>
      <w:pPr>
        <w:pStyle w:val="PreformattedText"/>
        <w:bidi w:val="0"/>
        <w:spacing w:before="0" w:after="0"/>
        <w:jc w:val="start"/>
        <w:rPr>
          <w:rFonts w:ascii="Adwaita Sans" w:hAnsi="Adwaita Sans"/>
        </w:rPr>
      </w:pPr>
      <w:r>
        <w:rPr>
          <w:rFonts w:ascii="Adwaita Sans" w:hAnsi="Adwaita Sans"/>
          <w:sz w:val="22"/>
          <w:szCs w:val="22"/>
        </w:rPr>
        <w:t>--surface: #0f172a (Contenedores)</w:t>
      </w:r>
    </w:p>
    <w:p>
      <w:pPr>
        <w:pStyle w:val="PreformattedText"/>
        <w:bidi w:val="0"/>
        <w:spacing w:before="0" w:after="0"/>
        <w:jc w:val="start"/>
        <w:rPr>
          <w:rFonts w:ascii="Adwaita Sans" w:hAnsi="Adwaita Sans"/>
        </w:rPr>
      </w:pPr>
      <w:r>
        <w:rPr>
          <w:rFonts w:ascii="Adwaita Sans" w:hAnsi="Adwaita Sans"/>
          <w:sz w:val="22"/>
          <w:szCs w:val="22"/>
        </w:rPr>
        <w:t>--radius: 12px (Bordes redondeados)</w:t>
      </w:r>
    </w:p>
    <w:p>
      <w:pPr>
        <w:pStyle w:val="PreformattedText"/>
        <w:bidi w:val="0"/>
        <w:spacing w:before="0" w:after="0"/>
        <w:jc w:val="start"/>
        <w:rPr>
          <w:rFonts w:ascii="Adwaita Sans" w:hAnsi="Adwaita Sans"/>
        </w:rPr>
      </w:pPr>
      <w:r>
        <w:rPr>
          <w:rFonts w:ascii="Adwaita Sans" w:hAnsi="Adwaita Sans"/>
          <w:sz w:val="22"/>
          <w:szCs w:val="22"/>
        </w:rPr>
        <w:t>Tipografía base ≥ 16 px y escala fluida para mejorar lectura</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“Inspección de variables en DevTools”]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2. Componentes reutilizables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Navbar con desenfoque</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Contenedor con fondo semitransparente sobre --bg y backdrop-filter: blur(8px) (con fallback de color sólido).</w:t>
      </w:r>
    </w:p>
    <w:p>
      <w:pPr>
        <w:pStyle w:val="PreformattedText"/>
        <w:bidi w:val="0"/>
        <w:spacing w:before="0" w:after="0"/>
        <w:jc w:val="start"/>
        <w:rPr>
          <w:rFonts w:ascii="Adwaita Sans" w:hAnsi="Adwaita Sans"/>
        </w:rPr>
      </w:pPr>
      <w:r>
        <w:rPr>
          <w:rFonts w:ascii="Adwaita Sans" w:hAnsi="Adwaita Sans"/>
          <w:sz w:val="22"/>
          <w:szCs w:val="22"/>
        </w:rPr>
        <w:t>Estados :hover, [aria-current="page"] y foco :focus-visible.</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Cards (.card)</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Fondo --surface, radio var(--radius), sombra suave y padding consistente.</w:t>
      </w:r>
    </w:p>
    <w:p>
      <w:pPr>
        <w:pStyle w:val="PreformattedText"/>
        <w:bidi w:val="0"/>
        <w:spacing w:before="0" w:after="0"/>
        <w:jc w:val="start"/>
        <w:rPr>
          <w:rFonts w:ascii="Adwaita Sans" w:hAnsi="Adwaita Sans"/>
        </w:rPr>
      </w:pPr>
      <w:r>
        <w:rPr>
          <w:rFonts w:ascii="Adwaita Sans" w:hAnsi="Adwaita Sans"/>
          <w:sz w:val="22"/>
          <w:szCs w:val="22"/>
        </w:rPr>
        <w:t>Admite título, descripción y CTA.</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Estilos de lista (.steps)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&lt;ol&gt; sin bullets por defecto; usa contadores CSS para círculos numerados.</w:t>
      </w:r>
    </w:p>
    <w:p>
      <w:pPr>
        <w:pStyle w:val="PreformattedText"/>
        <w:bidi w:val="0"/>
        <w:spacing w:before="0" w:after="0"/>
        <w:jc w:val="start"/>
        <w:rPr>
          <w:rFonts w:ascii="Adwaita Sans" w:hAnsi="Adwaita Sans"/>
        </w:rPr>
      </w:pPr>
      <w:r>
        <w:rPr>
          <w:rFonts w:ascii="Adwaita Sans" w:hAnsi="Adwaita Sans"/>
          <w:sz w:val="22"/>
          <w:szCs w:val="22"/>
        </w:rPr>
        <w:t>Espaciado vertical amplio y contraste suficiente entre número y texto.</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“Navbar + Cards + Lista .steps”]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3. Accesibilidad y usabilidad</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Contraste mínimo 4.5:1 para texto normal; 3:1 para texto grande y elementos activos.</w:t>
      </w:r>
    </w:p>
    <w:p>
      <w:pPr>
        <w:pStyle w:val="PreformattedText"/>
        <w:bidi w:val="0"/>
        <w:spacing w:before="0" w:after="0"/>
        <w:jc w:val="start"/>
        <w:rPr>
          <w:rFonts w:ascii="Adwaita Sans" w:hAnsi="Adwaita Sans"/>
        </w:rPr>
      </w:pPr>
      <w:r>
        <w:rPr>
          <w:rFonts w:ascii="Adwaita Sans" w:hAnsi="Adwaita Sans"/>
          <w:sz w:val="22"/>
          <w:szCs w:val="22"/>
        </w:rPr>
        <w:t>Tamaño de fuente mínimo 16 px y altura de línea confortable (≥ 1.5).</w:t>
      </w:r>
    </w:p>
    <w:p>
      <w:pPr>
        <w:pStyle w:val="PreformattedText"/>
        <w:bidi w:val="0"/>
        <w:spacing w:before="0" w:after="0"/>
        <w:jc w:val="start"/>
        <w:rPr>
          <w:rFonts w:ascii="Adwaita Sans" w:hAnsi="Adwaita Sans"/>
        </w:rPr>
      </w:pPr>
      <w:r>
        <w:rPr>
          <w:rFonts w:ascii="Adwaita Sans" w:hAnsi="Adwaita Sans"/>
          <w:sz w:val="22"/>
          <w:szCs w:val="22"/>
        </w:rPr>
        <w:t>Foco visible, zonas táctiles generosas y etiquetas/roles adecuados.</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“Chequeo de contraste y foco visible”]</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IV. Funcionalidad básica con JavaScript</w:t>
      </w:r>
    </w:p>
    <w:p>
      <w:pPr>
        <w:pStyle w:val="PreformattedText"/>
        <w:bidi w:val="0"/>
        <w:spacing w:before="0" w:after="0"/>
        <w:jc w:val="start"/>
        <w:rPr>
          <w:rFonts w:ascii="Adwaita Sans" w:hAnsi="Adwaita Sans"/>
        </w:rPr>
      </w:pPr>
      <w:r>
        <w:rPr>
          <w:rFonts w:ascii="Adwaita Sans" w:hAnsi="Adwaita Sans"/>
          <w:sz w:val="22"/>
          <w:szCs w:val="22"/>
        </w:rPr>
        <w:t>1. Interactividad simple</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Modo oscuro: toggle que alterna una clase en &lt;html&gt; (p. ej., data-theme="dark"), almacena preferencia en localStorage y respeta prefers-color-scheme.</w:t>
      </w:r>
    </w:p>
    <w:p>
      <w:pPr>
        <w:pStyle w:val="PreformattedText"/>
        <w:bidi w:val="0"/>
        <w:spacing w:before="0" w:after="0"/>
        <w:jc w:val="start"/>
        <w:rPr>
          <w:rFonts w:ascii="Adwaita Sans" w:hAnsi="Adwaita Sans"/>
        </w:rPr>
      </w:pPr>
      <w:r>
        <w:rPr>
          <w:rFonts w:ascii="Adwaita Sans" w:hAnsi="Adwaita Sans"/>
          <w:sz w:val="22"/>
          <w:szCs w:val="22"/>
        </w:rPr>
        <w:t>Navegación y feedback:</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Enlaces del índice hacen scroll suave.</w:t>
      </w:r>
    </w:p>
    <w:p>
      <w:pPr>
        <w:pStyle w:val="PreformattedText"/>
        <w:bidi w:val="0"/>
        <w:spacing w:before="0" w:after="0"/>
        <w:jc w:val="start"/>
        <w:rPr>
          <w:rFonts w:ascii="Adwaita Sans" w:hAnsi="Adwaita Sans"/>
        </w:rPr>
      </w:pPr>
      <w:r>
        <w:rPr>
          <w:rFonts w:ascii="Adwaita Sans" w:hAnsi="Adwaita Sans"/>
          <w:sz w:val="22"/>
          <w:szCs w:val="22"/>
        </w:rPr>
        <w:t>Al finalizar una sección (botón “Marcar como visto”), mostrar confirmación no intrusiva (p. ej., toast o aria-live="polite").</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[Espacio para imagen: “Toast de confirmación”]</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2. Consideraciones de calidad</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No bloquear la UI; degradar elegantemente si JS no carga.</w:t>
      </w:r>
    </w:p>
    <w:p>
      <w:pPr>
        <w:pStyle w:val="PreformattedText"/>
        <w:bidi w:val="0"/>
        <w:spacing w:before="0" w:after="0"/>
        <w:jc w:val="start"/>
        <w:rPr>
          <w:rFonts w:ascii="Adwaita Sans" w:hAnsi="Adwaita Sans"/>
        </w:rPr>
      </w:pPr>
      <w:r>
        <w:rPr>
          <w:rFonts w:ascii="Adwaita Sans" w:hAnsi="Adwaita Sans"/>
          <w:sz w:val="22"/>
          <w:szCs w:val="22"/>
        </w:rPr>
        <w:t>Evitar dependencias pesadas para mantener tiempos de carga bajos.</w:t>
      </w:r>
    </w:p>
    <w:p>
      <w:pPr>
        <w:pStyle w:val="PreformattedText"/>
        <w:bidi w:val="0"/>
        <w:spacing w:before="0" w:after="0"/>
        <w:jc w:val="start"/>
        <w:rPr>
          <w:rFonts w:ascii="Adwaita Sans" w:hAnsi="Adwaita Sans"/>
        </w:rPr>
      </w:pPr>
      <w:r>
        <w:rPr>
          <w:rFonts w:ascii="Adwaita Sans" w:hAnsi="Adwaita Sans"/>
          <w:sz w:val="22"/>
          <w:szCs w:val="22"/>
        </w:rPr>
        <w:t>Validar accesibilidad: navegación por teclado y compatibilidad con lectores de pantalla.</w:t>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r>
    </w:p>
    <w:p>
      <w:pPr>
        <w:pStyle w:val="PreformattedText"/>
        <w:bidi w:val="0"/>
        <w:spacing w:before="0" w:after="0"/>
        <w:jc w:val="start"/>
        <w:rPr>
          <w:rFonts w:ascii="Adwaita Sans" w:hAnsi="Adwaita Sans"/>
        </w:rPr>
      </w:pPr>
      <w:r>
        <w:rPr>
          <w:rFonts w:ascii="Adwaita Sans" w:hAnsi="Adwaita Sans"/>
          <w:sz w:val="22"/>
          <w:szCs w:val="22"/>
        </w:rPr>
        <w:t>V. Conclusiones y entregables</w:t>
      </w:r>
    </w:p>
    <w:p>
      <w:pPr>
        <w:pStyle w:val="PreformattedText"/>
        <w:bidi w:val="0"/>
        <w:spacing w:before="0" w:after="0"/>
        <w:jc w:val="start"/>
        <w:rPr>
          <w:rFonts w:ascii="Adwaita Sans" w:hAnsi="Adwaita Sans"/>
        </w:rPr>
      </w:pPr>
      <w:r>
        <w:rPr>
          <w:rFonts w:ascii="Adwaita Sans" w:hAnsi="Adwaita Sans"/>
          <w:sz w:val="22"/>
          <w:szCs w:val="22"/>
        </w:rPr>
        <w:t>Conclusiones</w:t>
      </w:r>
    </w:p>
    <w:p>
      <w:pPr>
        <w:pStyle w:val="PreformattedText"/>
        <w:bidi w:val="0"/>
        <w:spacing w:before="0" w:after="0"/>
        <w:jc w:val="start"/>
        <w:rPr>
          <w:rFonts w:ascii="Adwaita Sans" w:hAnsi="Adwaita Sans"/>
        </w:rPr>
      </w:pPr>
      <w:r>
        <w:rPr>
          <w:rFonts w:ascii="Adwaita Sans" w:hAnsi="Adwaita Sans"/>
          <w:sz w:val="22"/>
          <w:szCs w:val="22"/>
        </w:rPr>
        <w:t>La maquetación programática con HTML semántico, CSS con variables del sistema de diseño y JavaScript ligero promueve consistencia, mantenibilidad y escalabilidad en el proyecto Censo Rural. Definir componentes reutilizables (Navbar, Cards, Listas de pasos) y pautas de accesibilidad (contraste, foco visible, tipografía legible) facilita entregas frecuentes y validación temprana en línea con XP, reduciendo retrabajo e incrementando la calidad percibida por los usuarios finales.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Adwaita Sans">
    <w:charset w:val="01" w:characterSet="utf-8"/>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2339</TotalTime>
  <Application>LibreOffice/25.8.3.2$Linux_X86_64 LibreOffice_project/580$Build-2</Application>
  <AppVersion>15.0000</AppVersion>
  <Pages>5</Pages>
  <Words>836</Words>
  <Characters>5121</Characters>
  <CharactersWithSpaces>5869</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lastPrinted>2025-07-14T06:47:15Z</cp:lastPrinted>
  <dcterms:modified xsi:type="dcterms:W3CDTF">2026-02-22T13:15:34Z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