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header5.xml" ContentType="application/vnd.openxmlformats-officedocument.wordprocessingml.head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60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677"/>
        <w:gridCol w:w="4982"/>
      </w:tblGrid>
      <w:tr>
        <w:trPr/>
        <w:tc>
          <w:tcPr>
            <w:tcW w:w="4677" w:type="dxa"/>
            <w:tcBorders/>
          </w:tcPr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4982" w:type="dxa"/>
            <w:tcBorders/>
          </w:tcPr>
          <w:p>
            <w:pPr>
              <w:pStyle w:val="Normal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УТВЕРЖДАЮ</w:t>
            </w:r>
          </w:p>
          <w:p>
            <w:pPr>
              <w:pStyle w:val="Normal"/>
              <w:spacing w:lineRule="auto" w:line="276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Генеральный директор</w:t>
            </w:r>
          </w:p>
          <w:p>
            <w:pPr>
              <w:pStyle w:val="Normal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___________________ </w:t>
            </w:r>
          </w:p>
          <w:p>
            <w:pPr>
              <w:pStyle w:val="Normal"/>
              <w:ind w:hanging="0" w:left="4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«___»______________2026 г.</w:t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Методика</w:t>
      </w:r>
    </w:p>
    <w:p>
      <w:pPr>
        <w:pStyle w:val="Normal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определения остаточного ресурса систем и элементов,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важных для безопасности, гамма-дефектоскопов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типа «РИД-SE4P», принадлежащих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 </w:t>
      </w:r>
      <w:r>
        <w:rPr>
          <w:rFonts w:cs="Arial" w:ascii="Liberation Serif" w:hAnsi="Liberation Serif"/>
          <w:b/>
          <w:sz w:val="24"/>
          <w:szCs w:val="24"/>
        </w:rPr>
        <w:t>предприятию</w:t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№</w:t>
      </w:r>
      <w:r>
        <w:rPr>
          <w:rFonts w:cs="Arial" w:ascii="Arial" w:hAnsi="Arial"/>
          <w:sz w:val="24"/>
          <w:szCs w:val="24"/>
        </w:rPr>
        <w:t>__________________</w:t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г. Сосновый Бор, 2026 г.</w:t>
      </w:r>
      <w:r>
        <w:br w:type="page"/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Содержание</w:t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95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7653"/>
        <w:gridCol w:w="994"/>
      </w:tblGrid>
      <w:tr>
        <w:trPr/>
        <w:tc>
          <w:tcPr>
            <w:tcW w:w="920" w:type="dxa"/>
            <w:tcBorders/>
          </w:tcPr>
          <w:p>
            <w:pPr>
              <w:pStyle w:val="Normal"/>
              <w:spacing w:lineRule="auto" w:line="31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№ </w:t>
            </w:r>
            <w:r>
              <w:rPr>
                <w:rFonts w:cs="Arial" w:ascii="Arial" w:hAnsi="Arial"/>
                <w:sz w:val="24"/>
                <w:szCs w:val="24"/>
              </w:rPr>
              <w:t>п/п</w:t>
            </w:r>
          </w:p>
        </w:tc>
        <w:tc>
          <w:tcPr>
            <w:tcW w:w="7653" w:type="dxa"/>
            <w:tcBorders/>
          </w:tcPr>
          <w:p>
            <w:pPr>
              <w:pStyle w:val="Normal"/>
              <w:spacing w:lineRule="auto" w:line="31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spacing w:lineRule="auto" w:line="312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Стр.</w:t>
            </w:r>
          </w:p>
        </w:tc>
      </w:tr>
      <w:tr>
        <w:trPr/>
        <w:tc>
          <w:tcPr>
            <w:tcW w:w="920" w:type="dxa"/>
            <w:tcBorders/>
          </w:tcPr>
          <w:p>
            <w:pPr>
              <w:pStyle w:val="Normal"/>
              <w:spacing w:lineRule="auto" w:line="31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7653" w:type="dxa"/>
            <w:tcBorders/>
          </w:tcPr>
          <w:p>
            <w:pPr>
              <w:pStyle w:val="Normal"/>
              <w:spacing w:lineRule="auto" w:line="31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Термины и определения</w:t>
            </w:r>
          </w:p>
        </w:tc>
        <w:tc>
          <w:tcPr>
            <w:tcW w:w="994" w:type="dxa"/>
            <w:tcBorders/>
          </w:tcPr>
          <w:p>
            <w:pPr>
              <w:pStyle w:val="Normal"/>
              <w:spacing w:lineRule="auto" w:line="312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920" w:type="dxa"/>
            <w:tcBorders/>
          </w:tcPr>
          <w:p>
            <w:pPr>
              <w:pStyle w:val="Normal"/>
              <w:spacing w:lineRule="auto" w:line="31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1.</w:t>
            </w:r>
          </w:p>
        </w:tc>
        <w:tc>
          <w:tcPr>
            <w:tcW w:w="7653" w:type="dxa"/>
            <w:tcBorders/>
          </w:tcPr>
          <w:p>
            <w:pPr>
              <w:pStyle w:val="Normal"/>
              <w:spacing w:lineRule="auto" w:line="31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Общие положения</w:t>
            </w:r>
          </w:p>
        </w:tc>
        <w:tc>
          <w:tcPr>
            <w:tcW w:w="994" w:type="dxa"/>
            <w:tcBorders/>
          </w:tcPr>
          <w:p>
            <w:pPr>
              <w:pStyle w:val="Normal"/>
              <w:spacing w:lineRule="auto" w:line="312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920" w:type="dxa"/>
            <w:tcBorders/>
          </w:tcPr>
          <w:p>
            <w:pPr>
              <w:pStyle w:val="Normal"/>
              <w:spacing w:lineRule="auto" w:line="31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2.</w:t>
            </w:r>
          </w:p>
        </w:tc>
        <w:tc>
          <w:tcPr>
            <w:tcW w:w="7653" w:type="dxa"/>
            <w:tcBorders/>
          </w:tcPr>
          <w:p>
            <w:pPr>
              <w:pStyle w:val="Normal"/>
              <w:spacing w:lineRule="auto" w:line="312"/>
              <w:ind w:hanging="0" w:right="-2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Классификация гамма-дефектоскопов, их систем и элементов</w:t>
            </w:r>
          </w:p>
        </w:tc>
        <w:tc>
          <w:tcPr>
            <w:tcW w:w="994" w:type="dxa"/>
            <w:tcBorders/>
          </w:tcPr>
          <w:p>
            <w:pPr>
              <w:pStyle w:val="Normal"/>
              <w:spacing w:lineRule="auto" w:line="312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920" w:type="dxa"/>
            <w:tcBorders/>
          </w:tcPr>
          <w:p>
            <w:pPr>
              <w:pStyle w:val="Normal"/>
              <w:spacing w:lineRule="auto" w:line="31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3.</w:t>
            </w:r>
          </w:p>
        </w:tc>
        <w:tc>
          <w:tcPr>
            <w:tcW w:w="7653" w:type="dxa"/>
            <w:tcBorders/>
          </w:tcPr>
          <w:p>
            <w:pPr>
              <w:pStyle w:val="Normal"/>
              <w:spacing w:lineRule="auto" w:line="31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Порядок проведения работ по оценке остаточного ресурса систем и элементов гамма-дефектоскопов</w:t>
            </w:r>
          </w:p>
        </w:tc>
        <w:tc>
          <w:tcPr>
            <w:tcW w:w="994" w:type="dxa"/>
            <w:tcBorders/>
          </w:tcPr>
          <w:p>
            <w:pPr>
              <w:pStyle w:val="Normal"/>
              <w:spacing w:lineRule="auto" w:line="312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20" w:type="dxa"/>
            <w:tcBorders/>
          </w:tcPr>
          <w:p>
            <w:pPr>
              <w:pStyle w:val="Normal"/>
              <w:spacing w:lineRule="auto" w:line="31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4.</w:t>
            </w:r>
          </w:p>
        </w:tc>
        <w:tc>
          <w:tcPr>
            <w:tcW w:w="7653" w:type="dxa"/>
            <w:tcBorders/>
          </w:tcPr>
          <w:p>
            <w:pPr>
              <w:pStyle w:val="Normal"/>
              <w:spacing w:lineRule="auto" w:line="31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Методика оценки остаточного ресурса систем и элементов гамма-дефектоскопов</w:t>
            </w:r>
          </w:p>
        </w:tc>
        <w:tc>
          <w:tcPr>
            <w:tcW w:w="994" w:type="dxa"/>
            <w:tcBorders/>
          </w:tcPr>
          <w:p>
            <w:pPr>
              <w:pStyle w:val="Normal"/>
              <w:spacing w:lineRule="auto" w:line="312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12</w:t>
            </w:r>
          </w:p>
        </w:tc>
      </w:tr>
    </w:tbl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Normal"/>
        <w:spacing w:before="0" w:after="0"/>
        <w:ind w:firstLine="709"/>
        <w:jc w:val="both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Термины и определения</w:t>
      </w:r>
    </w:p>
    <w:p>
      <w:pPr>
        <w:pStyle w:val="Normal"/>
        <w:ind w:firstLine="709" w:right="28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418" w:leader="none"/>
        </w:tabs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Ампулопровод – элемент гамма-дефектоскопа, предназначенный для выдвижения источника гамма-излучения из радиационной головки к месту просвечивания.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418" w:leader="none"/>
        </w:tabs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Гамма-дефектоскоп, дефектоскоп – устройство для неразрушающего контроля качества изделий с использованием гамма-излучения радиоактивных изотопов.</w:t>
      </w:r>
    </w:p>
    <w:p>
      <w:pPr>
        <w:pStyle w:val="31"/>
        <w:numPr>
          <w:ilvl w:val="0"/>
          <w:numId w:val="2"/>
        </w:numPr>
        <w:tabs>
          <w:tab w:val="clear" w:pos="1470"/>
          <w:tab w:val="left" w:pos="142" w:leader="none"/>
          <w:tab w:val="left" w:pos="1418" w:leader="none"/>
        </w:tabs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Держатель источника – часть гамма-дефектоскопа с гнездом для размещения и крепления источника гамма-излучения и соединения с соответствующей частью транспортера радиационной головки.</w:t>
      </w:r>
    </w:p>
    <w:p>
      <w:pPr>
        <w:pStyle w:val="31"/>
        <w:numPr>
          <w:ilvl w:val="0"/>
          <w:numId w:val="2"/>
        </w:numPr>
        <w:tabs>
          <w:tab w:val="left" w:pos="1418" w:leader="none"/>
          <w:tab w:val="left" w:pos="1470" w:leader="none"/>
        </w:tabs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Дополнительный срок эксплуатации – календарная продолжительность (период) эксплуатации ОИАЭ сверх назначенного срока эксплуатации по целевому назначению.</w:t>
      </w:r>
    </w:p>
    <w:p>
      <w:pPr>
        <w:pStyle w:val="31"/>
        <w:numPr>
          <w:ilvl w:val="0"/>
          <w:numId w:val="2"/>
        </w:numPr>
        <w:tabs>
          <w:tab w:val="left" w:pos="1418" w:leader="none"/>
          <w:tab w:val="left" w:pos="1470" w:leader="none"/>
        </w:tabs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Источник радионуклидный закрытый (ЗРнИ) – источник излучения, устройство которого исключает поступление содержащихся в нем радионуклидов в окружающую среду в условиях применения и износа, на которые он рассчитан.</w:t>
      </w:r>
    </w:p>
    <w:p>
      <w:pPr>
        <w:pStyle w:val="31"/>
        <w:numPr>
          <w:ilvl w:val="0"/>
          <w:numId w:val="2"/>
        </w:numPr>
        <w:tabs>
          <w:tab w:val="left" w:pos="1418" w:leader="none"/>
          <w:tab w:val="left" w:pos="1470" w:leader="none"/>
        </w:tabs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Коллимирующая головка, коллиматор – радиационный наконечник гамма-дефектоскопа, снабженный устройством для формирования пучка гамма-излучения.</w:t>
      </w:r>
    </w:p>
    <w:p>
      <w:pPr>
        <w:pStyle w:val="31"/>
        <w:numPr>
          <w:ilvl w:val="0"/>
          <w:numId w:val="2"/>
        </w:numPr>
        <w:tabs>
          <w:tab w:val="left" w:pos="1418" w:leader="none"/>
          <w:tab w:val="left" w:pos="1470" w:leader="none"/>
        </w:tabs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 xml:space="preserve">Контейнер – вспомогательное устройство гамма-дефектоскопа, предназначенное для хранения источников гамма-излучения. 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1418" w:leader="none"/>
          <w:tab w:val="left" w:pos="1454" w:leader="none"/>
        </w:tabs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Критерий предельного состояния </w:t>
      </w:r>
      <w:r>
        <w:rPr>
          <w:rFonts w:cs="Arial" w:ascii="Arial" w:hAnsi="Arial"/>
          <w:sz w:val="24"/>
          <w:szCs w:val="24"/>
        </w:rPr>
        <w:t>– признак или совокупность признаков предельного состояния объекта, установленных нормативно-технической и (или) конструкторской (проектной) документацией.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1418" w:leader="none"/>
          <w:tab w:val="left" w:pos="1454" w:leader="none"/>
        </w:tabs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Надежность – свойство объекта сохранять во времени и установленных пределах значения всех параметров, характеризующих способность выполнять требуемые функции в заданных режимах и условиях применения, технического обслуживания, хранения и транспортирования.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1418" w:leader="none"/>
          <w:tab w:val="left" w:pos="1464" w:leader="none"/>
        </w:tabs>
        <w:ind w:firstLine="709" w:left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Назначенный ресурс </w:t>
      </w:r>
      <w:r>
        <w:rPr>
          <w:rFonts w:cs="Arial" w:ascii="Arial" w:hAnsi="Arial"/>
          <w:sz w:val="24"/>
          <w:szCs w:val="24"/>
        </w:rPr>
        <w:t>– суммарная наработка, при достижении которой эксплуатация объекта должна быть прекращена независимо от его технического состояния.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1418" w:leader="none"/>
          <w:tab w:val="left" w:pos="1464" w:leader="none"/>
        </w:tabs>
        <w:ind w:firstLine="709" w:left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Назначенный срок службы </w:t>
      </w:r>
      <w:r>
        <w:rPr>
          <w:rFonts w:cs="Arial" w:ascii="Arial" w:hAnsi="Arial"/>
          <w:sz w:val="24"/>
          <w:szCs w:val="24"/>
        </w:rPr>
        <w:t>– календарная продолжительность эксплуатации ОИАЭ, при достижении которой эксплуатация объекта должна быть прекращена независимо от его технического состояния.</w:t>
      </w:r>
    </w:p>
    <w:p>
      <w:pPr>
        <w:pStyle w:val="ListParagraph"/>
        <w:ind w:firstLine="709" w:left="0"/>
        <w:jc w:val="both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iCs/>
          <w:sz w:val="24"/>
          <w:szCs w:val="24"/>
        </w:rPr>
        <w:t xml:space="preserve">Примечание. </w:t>
      </w:r>
      <w:r>
        <w:rPr>
          <w:rFonts w:cs="Arial" w:ascii="Arial" w:hAnsi="Arial"/>
          <w:i/>
          <w:sz w:val="24"/>
          <w:szCs w:val="24"/>
        </w:rPr>
        <w:t>Назначенный срок службы и назначенный ресурс являются технико-эксплуатационными характеристиками и не относятся к показателям надежности (показателям долговечности). При достижении объектом назначенного ресурса (назначенного срока службы, назначенного срока хранения) в зависимости от назначения объекта, особенности эксплуатации, технического состояния и других факторов объект может быть списан, направлен в средний или капитальный ремонт, передан для применения не по назначению или может быть принято решение о продолжении эксплуатации. При установлении назначенного срока службы и назначенного ресурса принимают во внимание прогнозируемые (или достигнутые) значения показателей надежности.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Остаточный ресурс элемента – суммарная наработка элемента от момента контроля его технического состояния до перехода в предельное состояние.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Продление срока эксплуатации – деятельность по подготовке ОИАЭ к эксплуатации в течение дополнительного срока.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Радиационная головка – функциональный узел гамма-дефектоскопа, предназначенный для выпуска и перекрытия пучка излучения, а также для хранения источника излучения в перерывах между рабочими циклами.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1464" w:leader="none"/>
        </w:tabs>
        <w:ind w:firstLine="709" w:left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Ресурс </w:t>
      </w:r>
      <w:r>
        <w:rPr>
          <w:rFonts w:cs="Arial" w:ascii="Arial" w:hAnsi="Arial"/>
          <w:sz w:val="24"/>
          <w:szCs w:val="24"/>
        </w:rPr>
        <w:t>– суммарная наработка объекта от начала его эксплуатации или ее возобновления после ремонта до перехода в предельное состояние.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1464" w:leader="none"/>
        </w:tabs>
        <w:ind w:firstLine="709" w:left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Срок службы </w:t>
      </w:r>
      <w:r>
        <w:rPr>
          <w:rFonts w:cs="Arial" w:ascii="Arial" w:hAnsi="Arial"/>
          <w:sz w:val="24"/>
          <w:szCs w:val="24"/>
        </w:rPr>
        <w:t>– календарная продолжительность эксплуатации от начала эксплуатации объекта или ее возобновления после ремонта до перехода в предельное состояние.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1454" w:leader="none"/>
        </w:tabs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Системы </w:t>
      </w:r>
      <w:r>
        <w:rPr>
          <w:rFonts w:cs="Arial" w:ascii="Arial" w:hAnsi="Arial"/>
          <w:bCs/>
          <w:sz w:val="24"/>
          <w:szCs w:val="24"/>
        </w:rPr>
        <w:t xml:space="preserve">(элементы), важные для безопасности </w:t>
      </w:r>
      <w:r>
        <w:rPr>
          <w:rFonts w:cs="Arial" w:ascii="Arial" w:hAnsi="Arial"/>
          <w:sz w:val="24"/>
          <w:szCs w:val="24"/>
        </w:rPr>
        <w:t>– системы (элементы) безопасности, а также системы (элементы) нормальной эксплуатации, отказы которых нарушают  нормальную  эксплуатацию ОИАЭ или препятствуют устранению нарушений нормальной эксплуатации и могут приводить к авариям.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Техническое состояние – совокупность подверженных изменению в процессе эксплуатации свойств элемента (системы, ОИАЭ в целом), характеризуемая в определенный момент времени признаками, установленными технической документацией.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Транспортер (пульт управления) – функциональный узел гамма-дефектоскопа, обеспечивающий перемещение источника гамма-излучения в рабочее положение и возврат в положение хранения.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Упаковочный комплект (транспортный упаковочный комплект) – совокупность компонентов, необходимых для размещения и удержания радиоактивного содержимого.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Упаковка  – упаковочный комплект с находящимся в нем радиоактивным содержимым в представленном для перевозки виде.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Физический барьер – часть конструкции радиационного источника, ограничивающая распространение ионизирующего излучения и (или) РВ в окружающую среду, в частности, матрица РВ, капсула ЗРнИ, оболочка капсулы ЗРнИ, радиационно-защитный контейнер, блок радионуклидного источника, экран, лабиринт, каньон, стены.</w:t>
      </w:r>
    </w:p>
    <w:p>
      <w:pPr>
        <w:pStyle w:val="31"/>
        <w:numPr>
          <w:ilvl w:val="0"/>
          <w:numId w:val="2"/>
        </w:numPr>
        <w:ind w:firstLine="709" w:left="0"/>
        <w:rPr>
          <w:rFonts w:cs="Arial"/>
          <w:szCs w:val="24"/>
        </w:rPr>
      </w:pPr>
      <w:r>
        <w:rPr>
          <w:rFonts w:cs="Arial"/>
          <w:szCs w:val="24"/>
        </w:rPr>
        <w:t>Радиационный источник – не относящийся к ядерным установкам комплекс, установка, аппарат, оборудование или изделие, в котором содержится радиоактивное вещество или генерируется ионизирующее излучение.</w:t>
      </w:r>
    </w:p>
    <w:p>
      <w:pPr>
        <w:pStyle w:val="Normal"/>
        <w:spacing w:lineRule="auto" w:line="276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Normal"/>
        <w:spacing w:before="0" w:after="0"/>
        <w:ind w:firstLine="709"/>
        <w:jc w:val="both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1. Общие положения</w:t>
      </w:r>
    </w:p>
    <w:p>
      <w:pPr>
        <w:pStyle w:val="Normal"/>
        <w:ind w:firstLine="709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1.1. Настоящая «Методика определения остаточного ресурса систем и элементов, важных для безопасности, гамма-дефектоскопов типа «РИД-SE4P», принадлежащих </w:t>
      </w:r>
      <w:r>
        <w:rPr>
          <w:rFonts w:cs="Arial" w:ascii="Liberation Serif" w:hAnsi="Liberation Serif"/>
          <w:sz w:val="24"/>
          <w:szCs w:val="24"/>
        </w:rPr>
        <w:t>предприятию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  <w:shd w:fill="FF972F" w:val="clear"/>
        </w:rPr>
        <w:t>№19-09/16/69</w:t>
      </w:r>
      <w:r>
        <w:rPr>
          <w:rFonts w:cs="Arial" w:ascii="Arial" w:hAnsi="Arial"/>
          <w:sz w:val="24"/>
          <w:szCs w:val="24"/>
        </w:rPr>
        <w:t xml:space="preserve"> распространяется на гамма-дефектоскопы «РИД </w:t>
      </w:r>
      <w:r>
        <w:rPr>
          <w:rFonts w:cs="Arial" w:ascii="Arial" w:hAnsi="Arial"/>
          <w:sz w:val="24"/>
          <w:szCs w:val="24"/>
          <w:lang w:val="en-US"/>
        </w:rPr>
        <w:t>Se</w:t>
      </w:r>
      <w:r>
        <w:rPr>
          <w:rFonts w:cs="Arial" w:ascii="Arial" w:hAnsi="Arial"/>
          <w:sz w:val="24"/>
          <w:szCs w:val="24"/>
        </w:rPr>
        <w:t>4</w:t>
      </w:r>
      <w:r>
        <w:rPr>
          <w:rFonts w:cs="Arial" w:ascii="Arial" w:hAnsi="Arial"/>
          <w:sz w:val="24"/>
          <w:szCs w:val="24"/>
          <w:lang w:val="en-US"/>
        </w:rPr>
        <w:t>P</w:t>
      </w:r>
      <w:r>
        <w:rPr>
          <w:rFonts w:cs="Arial" w:ascii="Arial" w:hAnsi="Arial"/>
          <w:sz w:val="24"/>
          <w:szCs w:val="24"/>
        </w:rPr>
        <w:t xml:space="preserve">» при проведении работ по продлению назначенного срока их эксплуатации. 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1.2. Положения настоящей методики обязательны для всех организаций, участвующих в комплексном обследовании гамма-дефектоскопов, их систем и элементов, важных для безопасности.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1.3. Основанием для разработки настоящей методики являются требования «Единых отраслевых методических указаний по обоснованию возможности продления назначенного срока эксплуатации объектов использования атомной энергии в организациях Госкорпорации «Росатом», утверждённых приказом Госкорпорации «Росатом» от 29.07.2024 №1/1387-П 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При разработке методики были использованы следующие документы: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Основные санитарные правила обеспечения радиационной безопасности. (ОСПОРБ-99/2010);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Нормы радиационной безопасности. (НРБ-99/2009);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Общие положения обеспечения безопасности радиационных источников. (НП-038-16);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ГОСТ 23764-79 «Гамма-дефектоскопы. Общие технические условия»;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Правила безопасности при транспортировании радиоактивных материалов. (НП-053-16);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ГОСТ 16327-88 «Комплекты упаковочные транспортные для радиоактивных веществ. Общие технические условия»;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Санитарные правила по радиационной безопасности персонала и населения при транспортировании радиоактивных материалов (веществ). СанПиН 2.6.1.1281-03;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Свод санитарных правил в области обеспечения радиационной</w:t>
      </w:r>
      <w:r>
        <w:rPr>
          <w:rFonts w:cs="Arial" w:ascii="Arial" w:hAnsi="Arial"/>
          <w:sz w:val="28"/>
          <w:szCs w:val="28"/>
        </w:rPr>
        <w:t xml:space="preserve"> </w:t>
      </w:r>
      <w:r>
        <w:rPr>
          <w:rFonts w:cs="Arial" w:ascii="Arial" w:hAnsi="Arial"/>
          <w:sz w:val="24"/>
          <w:szCs w:val="24"/>
        </w:rPr>
        <w:t>безопасности населения (ССП-2025), СанПин 2.6.4115-25;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ГОСТ 27.102-2021. Надежность в технике. Надёжность объекта. Термины и определения;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Технические условия, ТУ 95 2575-95, еИ1.570.202 ТУ;</w:t>
      </w:r>
    </w:p>
    <w:p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Техническое описание и инструкция по эксплуатации, еИ1.570.202 ТО.</w:t>
      </w:r>
    </w:p>
    <w:p>
      <w:pPr>
        <w:pStyle w:val="ListParagraph"/>
        <w:ind w:firstLine="709" w:left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1.4. Остаточный ресурс гамма-дефектоскопов определяется исходя из допустимого срока службы отдельных систем и элементов. Определяющим значением при установлении остаточного ресурса ГД в целом является минимальный срок остаточного ресурса отдельно взятой системы или элемента. 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Методика устанавливает общие принципы, критерии и порядок оценки остаточного ресурса систем и элементов гамма-дефектоскопов в целях определения возможности их дальнейшей эксплуатации сверх назначенного срока службы, установленного в технической документации на гамма-дефектоскопы,  их системы и элементы.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В процессе проведения работ данная методика может корректироваться в установленном порядке.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firstLine="709"/>
        <w:jc w:val="both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2. Классификация гамма-дефектоскопов, их систем и элементов.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 По степени мобильности гамма-дефектоскопы подразделяются на 3 класса</w:t>
      </w:r>
      <w:r>
        <w:rPr>
          <w:rStyle w:val="FootnoteReference"/>
          <w:rFonts w:cs="Arial" w:ascii="Arial" w:hAnsi="Arial"/>
          <w:sz w:val="24"/>
          <w:szCs w:val="24"/>
        </w:rPr>
        <w:footnoteReference w:id="2"/>
      </w:r>
      <w:r>
        <w:rPr>
          <w:rFonts w:cs="Arial" w:ascii="Arial" w:hAnsi="Arial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-2127" w:leader="none"/>
        </w:tabs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 – переносные гамма-дефектоскопы, общая масса рабочих блоков которых не превышает 30 кг;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-2127" w:leader="none"/>
        </w:tabs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 – передвижные гамма-дефектоскопы, помещенные на колесах, тележке и т.п., передвижение которых по ровной горизонтальной поверхности требует усилия не более 300 Н (30 кгс);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-2127" w:leader="none"/>
          <w:tab w:val="left" w:pos="1200" w:leader="none"/>
        </w:tabs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</w:t>
      </w:r>
      <w:r>
        <w:rPr>
          <w:rFonts w:cs="Arial" w:ascii="Arial" w:hAnsi="Arial"/>
          <w:sz w:val="24"/>
          <w:szCs w:val="24"/>
        </w:rPr>
        <w:t>F – стационарные гамма-дефектоскопы, прочно установленные или имеющие ограниченные возможности движения при применении усилия более 300 Н (30 кгс).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Гамма-дефектоскопы «РИД-SE4P» относятся к классу «Р».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2.2. По способу вывода пучка гамма-излучения гамма-дефектоскопы «РИД-SE4P» относятся к шланговым, в которых источник гамма-излучения подается к объекту контроля по ампулопроводу.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2.3. Транспортирование радиационных головок гамма-дефектоскопов «РИД-SE4P» осуществляется в соответствии с федеральными нормами и правилами НП-053-16 «Правила безопасности при транспортировании радиоактивных материалов».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2.4. В комплект гамма-дефектоскопа входят</w:t>
      </w:r>
      <w:r>
        <w:rPr>
          <w:rStyle w:val="FootnoteReference"/>
          <w:rFonts w:cs="Arial" w:ascii="Arial" w:hAnsi="Arial"/>
          <w:sz w:val="24"/>
          <w:szCs w:val="24"/>
        </w:rPr>
        <w:footnoteReference w:id="3"/>
      </w:r>
      <w:r>
        <w:rPr>
          <w:rFonts w:cs="Arial" w:ascii="Arial" w:hAnsi="Arial"/>
          <w:sz w:val="24"/>
          <w:szCs w:val="24"/>
        </w:rPr>
        <w:t>: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2.4.1. Основные рабочие блоки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радиационная головка;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головка направляющая;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пульт управления;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ампулопроводы гибкие и жесткие;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коллиматоры.</w:t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2.4.2. Вспомогательные блоки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тележка;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комплект ЗИП;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комплект принадлежностей;</w:t>
      </w:r>
    </w:p>
    <w:p>
      <w:pPr>
        <w:pStyle w:val="Normal"/>
        <w:tabs>
          <w:tab w:val="clear" w:pos="708"/>
          <w:tab w:val="left" w:pos="1200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транспортный упаковочный комплект.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2.5. В соответствии с требованиями п. 22. НП-038-16 определены системы и элементы, важные для безопасности гамма-дефектоскопов: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2.5.1. Система хранения радионуклидного источника.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 системе хранения относится корпус радиационной головки (рисунок 1 поз. 1):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блок радиационной защиты;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гибкий вал с держателем источника;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механизм блокировки ампулопровода;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механизм блокировки держателя источника.</w:t>
      </w:r>
    </w:p>
    <w:p>
      <w:pPr>
        <w:pStyle w:val="Normal"/>
        <w:ind w:hanging="900" w:left="16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2.5.2. Система перемещения радионуклидного источника.</w:t>
      </w:r>
    </w:p>
    <w:p>
      <w:pPr>
        <w:pStyle w:val="Normal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 системе перемещения радионуклидного источника относятся (рисунки 1, А.3.2; А.5).:</w:t>
      </w:r>
    </w:p>
    <w:p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головка направляющая,</w:t>
      </w:r>
    </w:p>
    <w:p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ампулопровод,</w:t>
      </w:r>
    </w:p>
    <w:p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коллиматор, </w:t>
      </w:r>
    </w:p>
    <w:p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пульт управления 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2.5.3. Система управления перемещением и фиксации радионуклидного источника.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 системе управления перемещением и фиксации радионуклидного источника.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относится пульт управления (рисунок 3): </w:t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трос зубчатый, привод, шланги гибкие, штуцер.</w:t>
      </w:r>
    </w:p>
    <w:p>
      <w:pPr>
        <w:pStyle w:val="Normal"/>
        <w:ind w:hanging="900" w:left="16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900" w:left="16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2.5.4. Система блокировок.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 системе блокировок относятся головка радиационная (рисунок 1):</w:t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механизм блокировки ампулопровода;</w:t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механизм блокировки держателя источника;</w:t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блок биологической защиты;</w:t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индикатор.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  <w:shd w:fill="FFFF00" w:val="clear"/>
        </w:rPr>
      </w:pPr>
      <w:r>
        <w:rPr>
          <w:rFonts w:cs="Arial" w:ascii="Arial" w:hAnsi="Arial"/>
          <w:sz w:val="24"/>
          <w:szCs w:val="24"/>
          <w:shd w:fill="FFFF00" w:val="clear"/>
        </w:rPr>
      </w:r>
    </w:p>
    <w:p>
      <w:pPr>
        <w:pStyle w:val="Normal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Элементы систем гамма-дефектоскопов, важные для безопасности приведены в таблице 1.</w:t>
      </w:r>
    </w:p>
    <w:p>
      <w:pPr>
        <w:pStyle w:val="Normal"/>
        <w:ind w:firstLine="720"/>
        <w:jc w:val="both"/>
        <w:rPr>
          <w:rFonts w:ascii="Arial" w:hAnsi="Arial" w:cs="Arial"/>
          <w:sz w:val="24"/>
          <w:szCs w:val="24"/>
          <w:shd w:fill="FFFF00" w:val="clear"/>
        </w:rPr>
      </w:pPr>
      <w:r>
        <w:rPr>
          <w:rFonts w:cs="Arial" w:ascii="Arial" w:hAnsi="Arial"/>
          <w:sz w:val="24"/>
          <w:szCs w:val="24"/>
          <w:shd w:fill="FFFF00" w:val="clear"/>
        </w:rPr>
      </w:r>
    </w:p>
    <w:p>
      <w:pPr>
        <w:pStyle w:val="Normal"/>
        <w:ind w:firstLine="709"/>
        <w:jc w:val="both"/>
        <w:rPr>
          <w:shd w:fill="auto" w:val="clear"/>
        </w:rPr>
      </w:pPr>
      <w:r>
        <w:rPr>
          <w:rFonts w:cs="Arial" w:ascii="Arial" w:hAnsi="Arial"/>
          <w:sz w:val="24"/>
          <w:szCs w:val="24"/>
          <w:shd w:fill="auto" w:val="clear"/>
        </w:rPr>
        <w:t>2.6 В соответствии с п. 23. НП-038-16 элементы систем, важных для безопасности дефектоскопов, разделены на три класса безопасности.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2.6.1. К классу безопасности 1, относятся важные для безопасности элементы РИ, в которых содержатся ОРИ и (или) РВ с активностью, соответствующей I классу работ с РВ, и РИ категории радиационной опасности 1, 2 или 3.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2.6.2. К классу безопасности 2 относятся  элементы, не отнесенные к классу безопасности 1.</w:t>
      </w:r>
    </w:p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2.6.3. К классу безопасности 3 относятся элементы, не влияющие на безопасность РИ.</w:t>
      </w:r>
    </w:p>
    <w:p>
      <w:pPr>
        <w:pStyle w:val="Normal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Класс безопасности систем и элементов показан в таблице 1. </w:t>
      </w:r>
    </w:p>
    <w:p>
      <w:pPr>
        <w:pStyle w:val="Normal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2.7. При подготовке к проведению комплексного обследования дефектоскопа должны быть выявлены и по возможности устранены дефициты безопасности. </w:t>
      </w:r>
    </w:p>
    <w:p>
      <w:pPr>
        <w:pStyle w:val="Normal"/>
        <w:shd w:val="clear" w:fill="FFFFFF"/>
        <w:tabs>
          <w:tab w:val="clear" w:pos="708"/>
          <w:tab w:val="left" w:pos="1142" w:leader="none"/>
        </w:tabs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Перечень основных узлов и элементов дефектоскопов, методы выявления и устранения дефицитов безопасности приведены в таблице 1.</w:t>
      </w:r>
    </w:p>
    <w:p>
      <w:pPr>
        <w:pStyle w:val="Normal"/>
        <w:shd w:val="clear" w:fill="FFFFFF"/>
        <w:tabs>
          <w:tab w:val="clear" w:pos="708"/>
          <w:tab w:val="left" w:pos="1142" w:leader="none"/>
        </w:tabs>
        <w:spacing w:lineRule="auto" w:line="360"/>
        <w:ind w:firstLine="720" w:left="5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Таблица  1.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896"/>
        <w:gridCol w:w="2059"/>
        <w:gridCol w:w="2207"/>
        <w:gridCol w:w="1738"/>
        <w:gridCol w:w="1737"/>
      </w:tblGrid>
      <w:tr>
        <w:trPr>
          <w:tblHeader w:val="true"/>
          <w:trHeight w:val="1156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7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Наименование узла и  элемента дефектоскопа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7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Характеристика дефицита безопасности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Причины нарушения</w:t>
            </w:r>
          </w:p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spacing w:lineRule="exact" w:line="27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Меры по устранению дефицита безопасности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Класс</w:t>
            </w:r>
          </w:p>
          <w:p>
            <w:pPr>
              <w:pStyle w:val="Normal"/>
              <w:shd w:val="clear" w:fill="FFFFFF"/>
              <w:spacing w:lineRule="exact" w:line="27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безопасности</w:t>
            </w:r>
          </w:p>
        </w:tc>
      </w:tr>
      <w:tr>
        <w:trPr>
          <w:trHeight w:val="549" w:hRule="atLeast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Heading4"/>
              <w:spacing w:before="200" w:after="0"/>
              <w:ind w:hanging="0" w:left="0"/>
              <w:jc w:val="center"/>
              <w:rPr>
                <w:rFonts w:ascii="Arial" w:hAnsi="Arial" w:cs="Arial"/>
                <w:i w:val="false"/>
                <w:i w:val="false"/>
                <w:color w:val="auto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i w:val="false"/>
                <w:color w:val="auto"/>
                <w:sz w:val="22"/>
                <w:szCs w:val="22"/>
              </w:rPr>
              <w:t>1.1. Головка радиационная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Heading4"/>
              <w:spacing w:before="200" w:after="0"/>
              <w:ind w:hanging="0" w:left="0"/>
              <w:rPr>
                <w:rFonts w:ascii="Arial" w:hAnsi="Arial" w:cs="Arial"/>
                <w:b w:val="false"/>
                <w:i w:val="false"/>
                <w:i w:val="false"/>
                <w:color w:val="auto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i w:val="false"/>
                <w:color w:themeColor="accent1" w:val="auto"/>
                <w:sz w:val="22"/>
                <w:szCs w:val="22"/>
              </w:rPr>
            </w:r>
          </w:p>
        </w:tc>
      </w:tr>
      <w:tr>
        <w:trPr>
          <w:trHeight w:val="200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1.1.1. Корпус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</w:t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  радионуклидами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радиационной головки</w:t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Дезактивация поверхности корпуса моющими средствами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spacing w:lineRule="exact" w:line="25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592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1.1.2.Блок защиты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Снижение эффективности защиты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радиационной головки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spacing w:lineRule="exact" w:line="25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1.1.3. Прямой канал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радиационной головки</w:t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радиационной головки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spacing w:lineRule="exact" w:line="25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699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1.1.4 . Табличка для нанесения маркировки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</w:t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Механическое повреждение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 наружной поверхности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таблички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таблички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</w:t>
            </w:r>
          </w:p>
        </w:tc>
      </w:tr>
      <w:tr>
        <w:trPr>
          <w:trHeight w:val="322" w:hRule="atLeast"/>
          <w:cantSplit w:val="true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1.2.Устройство блокировочное (механизм автоматической блокировки  источника)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700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1.2.1. Корпус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или деформация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корпуса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701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1.2.2. Оси 3 шт.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или деформация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1.2.3. Втулка, рычаг, сухарь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или деформация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99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1.2.4. Пружины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 шт.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Заедание возвратной пружины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99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1.2.5. Замок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Заедание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или деформация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279" w:hRule="atLeast"/>
          <w:cantSplit w:val="true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1.3. Устройство блокировочное (механизм блока контроля подключения ампулопровода)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1.3.1.  Корпус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или деформация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корпуса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1130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1.3.2. Ползун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Неполный ход или залипание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Повреждение возвратной пружины.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 кнопки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или деформация ползуна.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пружины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кнопки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ползуна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279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1.3.3. Кнопка, пружина возврата</w:t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Заедание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прямолинейности кнопки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Заедание возвратной пружины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или деформация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Механическое повреждение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79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1.3.4. Кольцо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Заедание ползуна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 и промыть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414" w:hRule="atLeast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spacing w:lineRule="exact" w:line="259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1.4. Ампулопровод.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spacing w:lineRule="exact" w:line="259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69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1.4.1. Рукав металлический с пластикатным покрытием</w:t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 нарушение целостности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Превышение суммарного угла изгибов гибких шлангов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Резкие перегибы с радиусом менее 300 мм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spacing w:lineRule="exact" w:line="25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spacing w:lineRule="exact" w:line="25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С помощью ерша из тонкой проволоки очистить от грязи</w:t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Устранить лишние изгибы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Устранить перегибы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1.4.2. Штуцер.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Механическое повреждение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штуцера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1.4.3. Муфта соединительная</w:t>
            </w:r>
          </w:p>
          <w:p>
            <w:pPr>
              <w:pStyle w:val="Normal"/>
              <w:shd w:val="clear" w:fill="FFFFFF"/>
              <w:spacing w:lineRule="exact" w:line="24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 корпуса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 кнопки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Деформация пружины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ползуна фиксирующего устройства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Механическое повреждение Механический износ</w:t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корпуса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кнопки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пружины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ползуна</w:t>
            </w:r>
          </w:p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228" w:hRule="atLeast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1.5. Коллиматор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52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1.5.1. Корпус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 нарушение целостности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4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1.6. Пульт управления (ручной)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122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1.6.1. Привод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Заедание троса  во время вращения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 шестеренок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Повреждение троса или зубчатого подающего колеса (выкрашивание, излом или изгиб зубьев)</w:t>
            </w:r>
          </w:p>
          <w:p>
            <w:pPr>
              <w:pStyle w:val="Normal"/>
              <w:shd w:val="clear" w:fill="FFFFFF"/>
              <w:spacing w:lineRule="exact" w:line="24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Попадание инородного тела в зубчатое зацепление колеса с тросом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Устранить инородное тело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</w:t>
            </w:r>
          </w:p>
        </w:tc>
      </w:tr>
      <w:tr>
        <w:trPr>
          <w:trHeight w:val="1130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1.6.2. Шланги гибкие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 нарушение целостности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Превышение суммарного угла изгибов гибких шлангов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Резкие перегибы с радиусом менее 300 мм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Повреждение гайки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Повреждение штуцера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С помощью ерша из тонкой проволоки очистить от грязи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Устранить лишние изгибы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Устранить перегибы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гайки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штуцера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</w:t>
            </w:r>
          </w:p>
        </w:tc>
      </w:tr>
      <w:tr>
        <w:trPr>
          <w:trHeight w:val="1565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1.6.З.Трос зубчатый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 нарушение целостности</w:t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Выработка головки наконечника зубчатого троса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spacing w:lineRule="exact" w:line="25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троса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 головки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</w:t>
            </w:r>
          </w:p>
        </w:tc>
      </w:tr>
      <w:tr>
        <w:trPr>
          <w:trHeight w:val="1134" w:hRule="atLeast"/>
        </w:trPr>
        <w:tc>
          <w:tcPr>
            <w:tcW w:w="1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spacing w:lineRule="exact" w:line="2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1.6.4. Корпус пульта управления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Износ и нарушение целостности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Загрязнение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shd w:val="clear" w:fill="FFFFFF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Очистить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fill="FFFFFF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</w:t>
            </w:r>
          </w:p>
        </w:tc>
      </w:tr>
    </w:tbl>
    <w:p>
      <w:pPr>
        <w:pStyle w:val="Normal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1142" w:leader="none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2.8. Все элементы ГД можно условно разделить на механические и элементы физических барьеров. 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 механическим элементам относятся: муфты, зубчатые колеса, зубчатые тросы, ампулопроводы и т.п.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 элементам физических барьеров относятся: корпуса закрытых радионуклидных источников, держатели источников, блоки защиты.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2.9. В данной методике устанавливается следующая классификация систем и элементов гамма-дефектоскопов: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элементы, ресурс которых измеряется в рабочих циклах (механические элементы систем перемещения и фиксации радионуклидных источников, приводов, и т.п.);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элементы, ресурс которых измеряется в календарных годах (элементы физических барьеров);</w:t>
      </w:r>
    </w:p>
    <w:p>
      <w:pPr>
        <w:pStyle w:val="Normal"/>
        <w:tabs>
          <w:tab w:val="clear" w:pos="708"/>
          <w:tab w:val="left" w:pos="0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элементы, остаточный ресурс которых определяется условиями эксплуатации гамма-дефектоскопа и их техническим состоянием (корпуса, гибкие рукава, соединительные элементы).</w:t>
      </w:r>
    </w:p>
    <w:p>
      <w:pPr>
        <w:pStyle w:val="Normal"/>
        <w:tabs>
          <w:tab w:val="clear" w:pos="708"/>
          <w:tab w:val="left" w:pos="114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Следует отметить, что конкретный элемент может классифицироваться по различным указанным признакам.</w:t>
      </w:r>
    </w:p>
    <w:p>
      <w:pPr>
        <w:pStyle w:val="Normal"/>
        <w:tabs>
          <w:tab w:val="clear" w:pos="708"/>
          <w:tab w:val="left" w:pos="114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keepNext w:val="true"/>
        <w:ind w:firstLine="709"/>
        <w:jc w:val="both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3. Порядок проведения работ по оценке остаточного ресурса систем и элементов гамма-дефектоскопов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3.1. Оценка остаточного ресурса должна базироваться на результатах комплексного обследования и испытаний систем и элементов гамма-дефектоскопа. Перечень подлежащих обследованию систем и элементов гамма-дефектоскопа, важных для безопасности, этапы комплексного обследования, методы и формы обследования, перечень подготовительных работ и средства для их выполнения должны быть изложены в общей программе комплексного обследования гамма-дефектоскопов и частной программе обследования систем и элементов гамма-дефектоскопов «РИД-SE4P». </w:t>
      </w:r>
    </w:p>
    <w:p>
      <w:pPr>
        <w:pStyle w:val="311"/>
        <w:ind w:firstLine="709" w:right="-2"/>
        <w:rPr>
          <w:rFonts w:cs="Arial"/>
          <w:szCs w:val="24"/>
        </w:rPr>
      </w:pPr>
      <w:r>
        <w:rPr>
          <w:rFonts w:cs="Arial"/>
          <w:szCs w:val="24"/>
        </w:rPr>
        <w:t>3.2. Результаты комплексного обследования систем и элементов гамма-дефектоскопов должны быть приведены в отчете, содержащем: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краткое описание обследованных систем и элементов, важных для безопасности;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перечень  рассмотренных документов;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объем и результаты проведенных в процессе обследования контроля, испытаний, измерений, исследований  и т.п.;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выводы о фактическом состоянии систем и элементов по результатам контроля, испытаний, измерений, исследований и т.п., установленные в процессе обследования;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выводы о результатах оценки остаточного ресурса систем и элементов;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заключение о состоянии систем и элементов, а также рекомендации по реализации мер, необходимых для обеспечения их работоспособности и надежности;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выявленные дефициты безопасности и предлагаемые компенсирующие меры;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данные о радиационной обстановке в помещениях дефектоскопов; 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предложения по разработке и содержанию программы подготовки дефектоскопов  к продлению срока эксплуатации;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предложения по разработке и содержанию программы управления ресурсом элементов, важных для безопасности.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перечень элементов, выработавших свой ресурс;</w:t>
      </w:r>
    </w:p>
    <w:p>
      <w:pPr>
        <w:pStyle w:val="ListParagraph"/>
        <w:numPr>
          <w:ilvl w:val="0"/>
          <w:numId w:val="4"/>
        </w:numPr>
        <w:ind w:firstLine="709" w:lef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предложения  по  программам   дополнительных  работ   для определения остаточного ресурса элементов гамма-дефектоскопа.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3.3. При анализе результатов комплексного обследования гамма-дефектоскопа должны быть:</w:t>
      </w:r>
    </w:p>
    <w:p>
      <w:pPr>
        <w:pStyle w:val="ListParagraph"/>
        <w:numPr>
          <w:ilvl w:val="0"/>
          <w:numId w:val="10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определены механизмы старения систем и элементов;</w:t>
      </w:r>
    </w:p>
    <w:p>
      <w:pPr>
        <w:pStyle w:val="ListParagraph"/>
        <w:numPr>
          <w:ilvl w:val="0"/>
          <w:numId w:val="10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установлены определяющие параметры технического состояния;</w:t>
      </w:r>
    </w:p>
    <w:p>
      <w:pPr>
        <w:pStyle w:val="ListParagraph"/>
        <w:numPr>
          <w:ilvl w:val="0"/>
          <w:numId w:val="10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установлены критерии оценки технического состояния;</w:t>
      </w:r>
    </w:p>
    <w:p>
      <w:pPr>
        <w:pStyle w:val="ListParagraph"/>
        <w:numPr>
          <w:ilvl w:val="0"/>
          <w:numId w:val="10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оценены остаточные ресурсы систем и элементов.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3.3.1. Основными механизмами старения систем и элементов гамма-дефектоскопа могут являться:</w:t>
      </w:r>
    </w:p>
    <w:p>
      <w:pPr>
        <w:pStyle w:val="ListParagraph"/>
        <w:numPr>
          <w:ilvl w:val="0"/>
          <w:numId w:val="11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механический износ в результате нормальных условий эксплуатации (каналы радиационной головки, гибкий вал, зубчатый трос и т.п.);</w:t>
      </w:r>
    </w:p>
    <w:p>
      <w:pPr>
        <w:pStyle w:val="ListParagraph"/>
        <w:numPr>
          <w:ilvl w:val="0"/>
          <w:numId w:val="11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механические повреждения в результате отклонений от нормальных условий эксплуатации (запорное и фиксирующее устройства, соединительные элементы, корпуса и т.п.);</w:t>
      </w:r>
    </w:p>
    <w:p>
      <w:pPr>
        <w:pStyle w:val="ListParagraph"/>
        <w:numPr>
          <w:ilvl w:val="0"/>
          <w:numId w:val="11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растрескивание под напряжением или воздействием окружающей среды (оболочки гибких шлангов пультов, ампулопроводов);</w:t>
      </w:r>
    </w:p>
    <w:p>
      <w:pPr>
        <w:pStyle w:val="ListParagraph"/>
        <w:numPr>
          <w:ilvl w:val="0"/>
          <w:numId w:val="11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коррозия (корпуса, соединительные элементы, внутренние каналы).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3.3.2. Параметрами, определяющими техническое состояние систем и  элементов гамма-дефектоскопа, являются:</w:t>
      </w:r>
    </w:p>
    <w:p>
      <w:pPr>
        <w:pStyle w:val="ListParagraph"/>
        <w:numPr>
          <w:ilvl w:val="0"/>
          <w:numId w:val="12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геометрические размеры (радиус изгиба ампулопроводов и гибких шлангов, ширина паза хвостовика гибкого вала, диаметр наконечника троса, профиль зубьев зубчатых колес и т.п.);</w:t>
      </w:r>
    </w:p>
    <w:p>
      <w:pPr>
        <w:pStyle w:val="ListParagraph"/>
        <w:numPr>
          <w:ilvl w:val="0"/>
          <w:numId w:val="12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механические повреждения (оболочки гибких шлангов и ампулопроводов, соединительные элементы, корпуса, внутренние каналы);</w:t>
      </w:r>
    </w:p>
    <w:p>
      <w:pPr>
        <w:pStyle w:val="ListParagraph"/>
        <w:numPr>
          <w:ilvl w:val="0"/>
          <w:numId w:val="12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количество проведенных рабочих циклов элементов с ограниченным ресурсом (гибкий вал, зубчатый трос);</w:t>
      </w:r>
    </w:p>
    <w:p>
      <w:pPr>
        <w:pStyle w:val="ListParagraph"/>
        <w:numPr>
          <w:ilvl w:val="0"/>
          <w:numId w:val="12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результаты инструментального обследования гамма-дефектоскопа (мощность дозы на поверхности радиационной головки и на расстоянии 1 м от неё, усилия перемещения и фиксации систем и элементов гамма-дефектоскопов, и т.п.).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3.3.3. Критерии оценки технического состояния систем и  элементов гамма-дефектоскопа устанавливаются в ходе рассмотрения проектной, конструкторской и эксплуатационной документации на гамма-дефектоскоп.</w:t>
      </w:r>
    </w:p>
    <w:p>
      <w:pPr>
        <w:pStyle w:val="Normal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Рекомендуемые критерии оценки технического состояния основных систем и элементов гамма-дефектоскопов приведены в таблице 2.</w:t>
      </w:r>
    </w:p>
    <w:p>
      <w:pPr>
        <w:pStyle w:val="Normal"/>
        <w:widowControl w:val="false"/>
        <w:ind w:hanging="0" w:right="-2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ind w:hanging="0" w:right="-2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Таблица 2</w:t>
      </w:r>
    </w:p>
    <w:p>
      <w:pPr>
        <w:pStyle w:val="Normal"/>
        <w:widowControl w:val="false"/>
        <w:ind w:hanging="0" w:right="-2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ind w:hanging="0" w:right="253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Критерии оценки технического состояния основных элементов переносных шланговых гамма-дефектоскопов типа «РИД-SE4P»</w:t>
      </w:r>
    </w:p>
    <w:p>
      <w:pPr>
        <w:pStyle w:val="Normal"/>
        <w:widowControl w:val="false"/>
        <w:ind w:hanging="0" w:right="253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97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6"/>
        <w:gridCol w:w="3602"/>
        <w:gridCol w:w="3341"/>
      </w:tblGrid>
      <w:tr>
        <w:trPr>
          <w:tblHeader w:val="true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Наименование  систем и  элементов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Определяющий параметр технического состояния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Критерий</w:t>
            </w:r>
          </w:p>
        </w:tc>
      </w:tr>
      <w:tr>
        <w:trPr/>
        <w:tc>
          <w:tcPr>
            <w:tcW w:w="97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1. Радиационная головка</w:t>
            </w:r>
          </w:p>
        </w:tc>
      </w:tr>
      <w:tr>
        <w:trPr>
          <w:cantSplit w:val="true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1.1. Блок защиты, корпус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Мощность эквивалентной дозы на поверхности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2,0 мЗв/ч</w:t>
            </w:r>
          </w:p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(200 мбэр/ч)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Мощность эквивалентной дозы на расстоянии 1 м от поверхности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0,02 мЗв/ч</w:t>
            </w:r>
          </w:p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(2 мбэр/ч)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Наличие снимаемого радиоактивного загрязнения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допускается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Маркировка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Читаемость надписей и знаков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Механические повреждения, нарушение покрытий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допускается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Наработка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50 000 циклов</w:t>
            </w:r>
          </w:p>
        </w:tc>
      </w:tr>
      <w:tr>
        <w:trPr>
          <w:cantSplit w:val="true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1.2. Гибкий вал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Трещины, заусенцы на соединительных элементах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допускаются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Диаметр паза хвостовика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3,4 мм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Наработка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25 000 циклов</w:t>
            </w:r>
          </w:p>
        </w:tc>
      </w:tr>
      <w:tr>
        <w:trPr>
          <w:cantSplit w:val="true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1.3. Блокирующее устройство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Износ или деформация деталей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В пределах, обеспечивающих работоспособность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Наработка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50 000 циклов</w:t>
            </w:r>
          </w:p>
        </w:tc>
      </w:tr>
      <w:tr>
        <w:trPr>
          <w:trHeight w:val="461" w:hRule="atLeast"/>
          <w:cantSplit w:val="true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1.4. Фиксирующее устройство</w:t>
            </w:r>
          </w:p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Износ или деформация деталей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В пределах, обеспечивающих работоспособность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Наработка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50 000 циклов</w:t>
            </w:r>
          </w:p>
        </w:tc>
      </w:tr>
      <w:tr>
        <w:trPr>
          <w:cantSplit w:val="true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2. Ампулопроводы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Нарушение целостности оболочки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допускается оголение основы</w:t>
            </w:r>
          </w:p>
        </w:tc>
      </w:tr>
      <w:tr>
        <w:trPr>
          <w:trHeight w:val="190" w:hRule="atLeast"/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Резкие перегибы, растяжение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допускаются</w:t>
            </w:r>
          </w:p>
        </w:tc>
      </w:tr>
      <w:tr>
        <w:trPr>
          <w:cantSplit w:val="true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3. Коллиматор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Задиры, трещины, деформации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В пределах, обеспечивающих работоспособность</w:t>
            </w:r>
          </w:p>
        </w:tc>
      </w:tr>
      <w:tr>
        <w:trPr>
          <w:cantSplit w:val="true"/>
        </w:trPr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4. Пульт управления ручной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Усилие на рукоятке ручного привода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98 Н (10 кгс) в составе системы</w:t>
            </w:r>
          </w:p>
        </w:tc>
      </w:tr>
      <w:tr>
        <w:trPr>
          <w:cantSplit w:val="true"/>
        </w:trPr>
        <w:tc>
          <w:tcPr>
            <w:tcW w:w="2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Наработка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более 50000 циклов</w:t>
            </w:r>
          </w:p>
        </w:tc>
      </w:tr>
      <w:tr>
        <w:trPr>
          <w:cantSplit w:val="true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4.1. Шланги гибкие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Нарушение целостности оболочки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допускается оголение основы</w:t>
            </w:r>
          </w:p>
        </w:tc>
      </w:tr>
      <w:tr>
        <w:trPr>
          <w:cantSplit w:val="true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4.2. Трос зубчатый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Разрыв нитей, растяжение навивки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допускаются</w:t>
            </w:r>
          </w:p>
        </w:tc>
      </w:tr>
      <w:tr>
        <w:trPr>
          <w:cantSplit w:val="true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4.3. Колесо зубчатое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Выкрашивание, излом, изгиб зубьев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right="25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Не допускаются</w:t>
            </w:r>
          </w:p>
        </w:tc>
      </w:tr>
    </w:tbl>
    <w:p>
      <w:pPr>
        <w:pStyle w:val="Normal"/>
        <w:widowControl w:val="false"/>
        <w:ind w:firstLine="567" w:left="142" w:right="255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ind w:firstLine="709" w:right="-2"/>
        <w:jc w:val="both"/>
        <w:rPr>
          <w:rFonts w:ascii="Arial" w:hAnsi="Arial" w:cs="Arial"/>
          <w:spacing w:val="5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3.3.4. В ходе рассмотрения результатов обследования гамма-дефектоскопа проводится определение </w:t>
      </w:r>
      <w:r>
        <w:rPr>
          <w:rFonts w:cs="Arial" w:ascii="Arial" w:hAnsi="Arial"/>
          <w:spacing w:val="5"/>
          <w:sz w:val="24"/>
          <w:szCs w:val="24"/>
        </w:rPr>
        <w:t xml:space="preserve">остаточного ресурса систем и элементов гамма-дефектоскопа. </w:t>
      </w:r>
    </w:p>
    <w:p>
      <w:pPr>
        <w:pStyle w:val="Normal"/>
        <w:widowControl w:val="false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Определение остаточного ресурса систем и элементов гамма-дефектоскопа (в зависимости от назначения элемента) может проводиться:</w:t>
      </w:r>
    </w:p>
    <w:p>
      <w:pPr>
        <w:pStyle w:val="ListParagraph"/>
        <w:widowControl w:val="false"/>
        <w:numPr>
          <w:ilvl w:val="0"/>
          <w:numId w:val="13"/>
        </w:numPr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путем сравнения количества рабочих циклов системы и элемента (выработанных в процессе эксплуатации) с данными, указанными в технической документации;</w:t>
      </w:r>
    </w:p>
    <w:p>
      <w:pPr>
        <w:pStyle w:val="ListParagraph"/>
        <w:widowControl w:val="false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путем сравнения результатов измерений определяющих параметров</w:t>
      </w:r>
      <w:bookmarkStart w:id="0" w:name="_Ref373170116"/>
      <w:r>
        <w:rPr>
          <w:rStyle w:val="FootnoteReference"/>
          <w:vertAlign w:val="superscript"/>
        </w:rPr>
        <w:footnoteReference w:id="4"/>
      </w:r>
      <w:bookmarkEnd w:id="0"/>
      <w:r>
        <w:rPr>
          <w:rFonts w:cs="Arial" w:ascii="Arial" w:hAnsi="Arial"/>
          <w:sz w:val="24"/>
          <w:szCs w:val="24"/>
        </w:rPr>
        <w:t>) с критериями предельного состояния</w:t>
      </w:r>
      <w:r>
        <w:rPr>
          <w:rStyle w:val="FootnoteReference"/>
          <w:vertAlign w:val="superscript"/>
        </w:rPr>
        <w:footnoteReference w:id="5"/>
      </w:r>
      <w:r>
        <w:rPr>
          <w:rFonts w:cs="Arial" w:ascii="Arial" w:hAnsi="Arial"/>
          <w:sz w:val="24"/>
          <w:szCs w:val="24"/>
        </w:rPr>
        <w:t>) системы и элемента, установленными в технической документации.</w:t>
      </w:r>
    </w:p>
    <w:p>
      <w:pPr>
        <w:pStyle w:val="Normal"/>
        <w:widowControl w:val="false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BodyText3"/>
        <w:spacing w:lineRule="auto" w:line="240" w:before="0" w:after="0"/>
        <w:ind w:firstLine="709" w:right="-2"/>
        <w:jc w:val="both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4. Методика оценки остаточного ресурса систем и элементов гамма-дефектоскопов</w:t>
      </w:r>
    </w:p>
    <w:p>
      <w:pPr>
        <w:pStyle w:val="BodyText3"/>
        <w:spacing w:lineRule="auto" w:line="240" w:before="0" w:after="0"/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1502" w:leader="none"/>
        </w:tabs>
        <w:ind w:firstLine="709" w:right="-2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 xml:space="preserve">4.1. Оценка возможности дальнейшей эксплуатации гамма-дефектоскопа производится на основании результатов оценки его технического состояния с учетом наработки систем и элементов гамма-дефектоскопа за период его эксплуатации. 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4.2. Оценку технического состояния систем и элементов гамма-дефектоскопа выполняют сравнением текущих количественных значений или качественных показателей определяющих параметров технического состояния с соответствующими предельно-допустимыми значениями, установленными конструкторской документацией.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 xml:space="preserve">4.3. В качестве определяющих параметров технического состояния для прогнозирования остаточного ресурса систем и элементов гамма-дефектоскопов используют либо измеренные величины возникших повреждений (изменение геометрических размеров), либо косвенные параметры, свидетельствующие об износе систем и элементов (усилия перемещения). 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4.4. При оценке остаточного ресурса элементов гамма-дефектоскопов и назначении дополнительного срока эксплуатации применяются два основных принципа:</w:t>
      </w:r>
    </w:p>
    <w:p>
      <w:pPr>
        <w:pStyle w:val="ListParagraph"/>
        <w:numPr>
          <w:ilvl w:val="0"/>
          <w:numId w:val="14"/>
        </w:numPr>
        <w:tabs>
          <w:tab w:val="clear" w:pos="708"/>
          <w:tab w:val="left" w:pos="1512" w:leader="none"/>
        </w:tabs>
        <w:ind w:hanging="360" w:left="1429" w:right="-2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документальный принцип, при котором остаточный ресурс определяется фактической наработкой гамма-дефектоскопа или его элемента;</w:t>
      </w:r>
    </w:p>
    <w:p>
      <w:pPr>
        <w:pStyle w:val="ListParagraph"/>
        <w:numPr>
          <w:ilvl w:val="0"/>
          <w:numId w:val="14"/>
        </w:numPr>
        <w:tabs>
          <w:tab w:val="clear" w:pos="708"/>
          <w:tab w:val="left" w:pos="1512" w:leader="none"/>
        </w:tabs>
        <w:ind w:hanging="360" w:left="1429" w:right="-2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инструментальный принцип, при котором остаточный ресурс элемента определяется его фактическим состоянием.</w:t>
      </w:r>
    </w:p>
    <w:p>
      <w:pPr>
        <w:pStyle w:val="Normal"/>
        <w:tabs>
          <w:tab w:val="clear" w:pos="708"/>
          <w:tab w:val="left" w:pos="1512" w:leader="none"/>
        </w:tabs>
        <w:ind w:firstLine="709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4.4.1. Документальный принцип применяется для элементов гамма-дефектоскопов, остаточный ресурс которых напрямую зависит от количества проведенных рабочих циклов или часов работы элемента.</w:t>
      </w:r>
    </w:p>
    <w:p>
      <w:pPr>
        <w:pStyle w:val="Normal"/>
        <w:tabs>
          <w:tab w:val="clear" w:pos="708"/>
          <w:tab w:val="left" w:pos="1512" w:leader="none"/>
        </w:tabs>
        <w:ind w:firstLine="709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В этом случае остаточный ресурс определяется разницей между назначенным в соответствии с технической документацией гамма-дефектоскопа ресурсом элемента (в рабочих циклах или часах работы) и фактической наработкой гамма-дефектоскопа или его элемента. При этом должно учитываться фактическое состояние элемента.</w:t>
      </w:r>
    </w:p>
    <w:p>
      <w:pPr>
        <w:pStyle w:val="Normal"/>
        <w:tabs>
          <w:tab w:val="clear" w:pos="708"/>
          <w:tab w:val="left" w:pos="1512" w:leader="none"/>
        </w:tabs>
        <w:ind w:firstLine="709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Остаточный ресурс элемента может быть снижен при обнаружении износа или повреждения элемента.</w:t>
      </w:r>
    </w:p>
    <w:p>
      <w:pPr>
        <w:pStyle w:val="Normal"/>
        <w:tabs>
          <w:tab w:val="clear" w:pos="708"/>
          <w:tab w:val="left" w:pos="1512" w:leader="none"/>
        </w:tabs>
        <w:ind w:firstLine="709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При исчерпании назначенного ресурса элемента в зависимости от его фактического состояния может быть назначен дополнительный ресурс, но не более ресурса, установленного технической документацией гамма-дефектоскопа.</w:t>
      </w:r>
    </w:p>
    <w:p>
      <w:pPr>
        <w:pStyle w:val="Normal"/>
        <w:tabs>
          <w:tab w:val="clear" w:pos="708"/>
          <w:tab w:val="left" w:pos="1512" w:leader="none"/>
        </w:tabs>
        <w:ind w:firstLine="709"/>
        <w:jc w:val="both"/>
        <w:rPr>
          <w:rFonts w:ascii="Arial" w:hAnsi="Arial" w:cs="Arial"/>
          <w:spacing w:val="-1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>4.4.2. Инструментальный принцип применяется для элементов, срок службы которых</w:t>
      </w:r>
      <w:r>
        <w:rPr>
          <w:rFonts w:cs="Arial" w:ascii="Arial" w:hAnsi="Arial"/>
          <w:sz w:val="24"/>
          <w:szCs w:val="24"/>
        </w:rPr>
        <w:t xml:space="preserve"> определяется условиями эксплуатации гамма-дефектоскопа и их техническим состоянием, а также в случае отсутствия достоверных сведений о фактической наработке элемента.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pacing w:val="-1"/>
          <w:sz w:val="24"/>
          <w:szCs w:val="24"/>
        </w:rPr>
        <w:t xml:space="preserve">На основании результатов комплексного обследования проводится сравнение определяющих параметров технического состояния элементов с критериями их технического состояния, приведенными в таблице 2. 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4.5. Если значения определяющих параметров систем и элементов соответствуют значениям параметров, указанных в технической документации, принимается решение о работоспособном техническом состоянии гамма-дефектоскопа и о продлении назначенного срока эксплуатации. 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4.6. Если для поддержания работоспособного состояния гамма-дефектоскопа в течение дополнительного срока эксплуатации необходимы дополнительные меры по поддержанию ресурса систем и элементов, то заключение о величине остаточного ресурса должно содержать сведения о возможности и условиях дальнейшей эксплуатации гамма-дефектоскопа и устанавливать объем контроля и срок очередной оценки технического состояния его систем и элементов. Эти сведения могут быть оформлены (при необходимости) в виде программы управления ресурсом систем и элементов гамма-дефектоскопа, важных для безопасности.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4.7. Периодичность оценки технического состояния гамма-дефектоскопа определяется исходя из:</w:t>
      </w:r>
    </w:p>
    <w:p>
      <w:pPr>
        <w:pStyle w:val="ListParagraph"/>
        <w:numPr>
          <w:ilvl w:val="0"/>
          <w:numId w:val="15"/>
        </w:numPr>
        <w:tabs>
          <w:tab w:val="clear" w:pos="708"/>
          <w:tab w:val="left" w:pos="1512" w:leader="none"/>
        </w:tabs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требований эксплуатационной документации;</w:t>
      </w:r>
    </w:p>
    <w:p>
      <w:pPr>
        <w:pStyle w:val="ListParagraph"/>
        <w:numPr>
          <w:ilvl w:val="0"/>
          <w:numId w:val="15"/>
        </w:numPr>
        <w:tabs>
          <w:tab w:val="clear" w:pos="708"/>
          <w:tab w:val="left" w:pos="1512" w:leader="none"/>
        </w:tabs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достижения предельных значений определяющих параметров систем и элементов гамма-дефектоскопа;</w:t>
      </w:r>
    </w:p>
    <w:p>
      <w:pPr>
        <w:pStyle w:val="ListParagraph"/>
        <w:numPr>
          <w:ilvl w:val="0"/>
          <w:numId w:val="15"/>
        </w:numPr>
        <w:tabs>
          <w:tab w:val="clear" w:pos="708"/>
          <w:tab w:val="left" w:pos="1512" w:leader="none"/>
        </w:tabs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результатов анализа отказов и повреждений гамма-дефектоскопа  и его систем и элементов.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4.8. При несоответствии текущих количественных или качественных показателей определяющих параметров технического состояния предельно-допустимым значениям, необходимо разработать предложения:</w:t>
      </w:r>
    </w:p>
    <w:p>
      <w:pPr>
        <w:pStyle w:val="ListParagraph"/>
        <w:numPr>
          <w:ilvl w:val="0"/>
          <w:numId w:val="16"/>
        </w:numPr>
        <w:tabs>
          <w:tab w:val="clear" w:pos="708"/>
          <w:tab w:val="left" w:pos="1512" w:leader="none"/>
        </w:tabs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по ремонту гамма-дефектоскопа; </w:t>
      </w:r>
    </w:p>
    <w:p>
      <w:pPr>
        <w:pStyle w:val="ListParagraph"/>
        <w:numPr>
          <w:ilvl w:val="0"/>
          <w:numId w:val="16"/>
        </w:numPr>
        <w:tabs>
          <w:tab w:val="clear" w:pos="708"/>
          <w:tab w:val="left" w:pos="1512" w:leader="none"/>
        </w:tabs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по замене систем и элементов гамма-дефектоскопа;</w:t>
      </w:r>
    </w:p>
    <w:p>
      <w:pPr>
        <w:pStyle w:val="ListParagraph"/>
        <w:numPr>
          <w:ilvl w:val="0"/>
          <w:numId w:val="16"/>
        </w:numPr>
        <w:tabs>
          <w:tab w:val="clear" w:pos="708"/>
          <w:tab w:val="left" w:pos="1512" w:leader="none"/>
        </w:tabs>
        <w:ind w:hanging="360" w:left="142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по установлению эксплуатационных ограничений.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Объем работ определяется исходя из фактического технического состояния гамма-дефектоскопа.</w:t>
      </w:r>
    </w:p>
    <w:p>
      <w:pPr>
        <w:pStyle w:val="Normal"/>
        <w:tabs>
          <w:tab w:val="clear" w:pos="708"/>
          <w:tab w:val="left" w:pos="1512" w:leader="none"/>
        </w:tabs>
        <w:ind w:firstLine="709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4.9. Определение и обоснование остаточного ресурса элементов гамма-дефектоскопов, важных для безопасности, должно быть подтверждено результатами экспертизы, проводимой организацией, имеющей лицензию Ростехнадзора на право осуществления этих видов деятельности.</w:t>
      </w:r>
    </w:p>
    <w:p>
      <w:pPr>
        <w:pStyle w:val="Normal"/>
        <w:spacing w:lineRule="auto" w:line="276"/>
        <w:ind w:firstLine="851" w:right="-2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spacing w:lineRule="auto" w:line="252"/>
        <w:ind w:firstLine="488"/>
        <w:jc w:val="both"/>
        <w:rPr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252"/>
        <w:ind w:firstLine="488"/>
        <w:jc w:val="both"/>
        <w:rPr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252"/>
        <w:ind w:firstLine="488"/>
        <w:jc w:val="both"/>
        <w:rPr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widowControl w:val="false"/>
        <w:spacing w:lineRule="auto" w:line="252"/>
        <w:ind w:firstLine="488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</w:t>
      </w:r>
      <w:r>
        <w:rPr>
          <w:rFonts w:ascii="Liberation Serif" w:hAnsi="Liberation Serif"/>
          <w:b w:val="false"/>
          <w:bCs w:val="false"/>
          <w:sz w:val="28"/>
          <w:szCs w:val="28"/>
        </w:rPr>
        <w:t>ОГЛАСОВАНО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963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</w:r>
          </w:p>
        </w:tc>
        <w:tc>
          <w:tcPr>
            <w:tcW w:w="496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</w:r>
          </w:p>
        </w:tc>
      </w:tr>
      <w:tr>
        <w:trPr>
          <w:trHeight w:val="1241" w:hRule="atLeast"/>
        </w:trPr>
        <w:tc>
          <w:tcPr>
            <w:tcW w:w="4675" w:type="dxa"/>
            <w:tcBorders/>
          </w:tcPr>
          <w:p>
            <w:pPr>
              <w:pStyle w:val="Heading1"/>
              <w:widowControl/>
              <w:spacing w:lineRule="auto" w:line="240" w:before="0" w:after="0"/>
              <w:ind w:hanging="0" w:left="0"/>
              <w:jc w:val="left"/>
              <w:rPr>
                <w:rFonts w:ascii="Liberation Serif" w:hAnsi="Liberation Serif" w:eastAsia="Times New Roman" w:cs="Times New Roman"/>
                <w:b w:val="false"/>
                <w:b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/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BodyText2"/>
              <w:widowControl/>
              <w:tabs>
                <w:tab w:val="clear" w:pos="708"/>
                <w:tab w:val="left" w:pos="7655" w:leader="none"/>
              </w:tabs>
              <w:spacing w:before="0" w:after="0"/>
              <w:jc w:val="both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Arial" w:ascii="Liberation Serif" w:hAnsi="Liberation Serif"/>
                <w:kern w:val="0"/>
                <w:sz w:val="24"/>
                <w:szCs w:val="24"/>
                <w:lang w:val="ru-RU" w:eastAsia="ru-RU" w:bidi="ar-SA"/>
              </w:rPr>
              <w:t>«_____» ___________ 2026 г.</w:t>
            </w:r>
          </w:p>
        </w:tc>
        <w:tc>
          <w:tcPr>
            <w:tcW w:w="4963" w:type="dxa"/>
            <w:tcBorders/>
          </w:tcPr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/>
            </w:r>
          </w:p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  <w:t>«_____» ___________ 2026 г.</w:t>
            </w:r>
          </w:p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/>
            </w:r>
          </w:p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  <w:t>«_____» ___________ 2026 г.</w:t>
            </w:r>
          </w:p>
        </w:tc>
      </w:tr>
      <w:tr>
        <w:trPr>
          <w:trHeight w:val="1241" w:hRule="atLeast"/>
        </w:trPr>
        <w:tc>
          <w:tcPr>
            <w:tcW w:w="467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 w:cs="Arial"/>
                <w:sz w:val="20"/>
              </w:rPr>
            </w:pPr>
            <w:r>
              <w:rPr>
                <w:rFonts w:cs="Arial" w:ascii="Liberation Serif" w:hAnsi="Liberation Serif"/>
                <w:sz w:val="20"/>
              </w:rPr>
            </w:r>
          </w:p>
        </w:tc>
        <w:tc>
          <w:tcPr>
            <w:tcW w:w="4963" w:type="dxa"/>
            <w:tcBorders/>
          </w:tcPr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1241" w:hRule="atLeast"/>
        </w:trPr>
        <w:tc>
          <w:tcPr>
            <w:tcW w:w="467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 w:cs="Arial"/>
                <w:sz w:val="20"/>
              </w:rPr>
            </w:pPr>
            <w:r>
              <w:rPr/>
            </w:r>
          </w:p>
        </w:tc>
        <w:tc>
          <w:tcPr>
            <w:tcW w:w="4963" w:type="dxa"/>
            <w:tcBorders/>
          </w:tcPr>
          <w:p>
            <w:pPr>
              <w:pStyle w:val="BodyText2"/>
              <w:widowControl/>
              <w:tabs>
                <w:tab w:val="clear" w:pos="708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notePr>
            <w:numFmt w:val="decimal"/>
          </w:footnotePr>
          <w:type w:val="nextPage"/>
          <w:pgSz w:w="11906" w:h="16838"/>
          <w:pgMar w:left="1418" w:right="851" w:gutter="0" w:header="708" w:top="765" w:footer="0" w:bottom="680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BodyText"/>
        <w:jc w:val="right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Приложение А</w:t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Элементы гамма-дефектоскопа</w:t>
      </w:r>
    </w:p>
    <w:p>
      <w:pPr>
        <w:pStyle w:val="Normal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/>
        <w:drawing>
          <wp:inline distT="0" distB="0" distL="0" distR="0">
            <wp:extent cx="6129655" cy="36830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68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2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52"/>
        <w:ind w:firstLine="68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52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Рисунок А.1  Радиационная головка гамма-дефектоскопа</w:t>
      </w:r>
    </w:p>
    <w:p>
      <w:pPr>
        <w:pStyle w:val="Normal"/>
        <w:spacing w:lineRule="auto" w:line="252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типа «РИД-SE4P»</w:t>
      </w:r>
    </w:p>
    <w:p>
      <w:pPr>
        <w:pStyle w:val="Normal"/>
        <w:spacing w:lineRule="auto" w:line="252"/>
        <w:ind w:firstLine="68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52"/>
        <w:ind w:firstLine="68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/>
        <w:object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406pt;height:109.5pt;mso-wrap-distance-right:0pt" filled="f" o:ole="">
            <v:imagedata r:id="rId7" o:title=""/>
          </v:shape>
          <o:OLEObject Type="Embed" ProgID="" ShapeID="ole_rId6" DrawAspect="Content" ObjectID="_1244489415" r:id="rId6"/>
        </w:object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Рисунок А.2.1  Ампулопровод гибкий</w:t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/>
        <w:object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450.5pt;height:114.5pt;mso-wrap-distance-right:0pt" filled="f" o:ole="">
            <v:imagedata r:id="rId9" o:title=""/>
          </v:shape>
          <o:OLEObject Type="Embed" ProgID="" ShapeID="ole_rId8" DrawAspect="Content" ObjectID="_1135051654" r:id="rId8"/>
        </w:object>
      </w:r>
    </w:p>
    <w:p>
      <w:pPr>
        <w:pStyle w:val="Normal"/>
        <w:spacing w:lineRule="auto" w:line="276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Рисунок А2.2  Ампулопровод гибкий</w:t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/>
        <w:object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288pt;height:330.5pt;mso-wrap-distance-right:0pt" filled="f" o:ole="">
            <v:imagedata r:id="rId11" o:title=""/>
          </v:shape>
          <o:OLEObject Type="Embed" ProgID="" ShapeID="ole_rId10" DrawAspect="Content" ObjectID="_762487391" r:id="rId10"/>
        </w:objec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Рисунок А.3  Коллиматор</w:t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/>
        <w:object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487.5pt;height:268.5pt;mso-wrap-distance-right:0pt" filled="f" o:ole="">
            <v:imagedata r:id="rId13" o:title=""/>
          </v:shape>
          <o:OLEObject Type="Embed" ProgID="" ShapeID="ole_rId12" DrawAspect="Content" ObjectID="_1075804287" r:id="rId12"/>
        </w:object>
      </w:r>
    </w:p>
    <w:p>
      <w:pPr>
        <w:pStyle w:val="Normal"/>
        <w:spacing w:lineRule="auto" w:line="276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Рисунок А.4  Пульт управления</w:t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/>
        <w:object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453.5pt;height:566pt;mso-wrap-distance-right:0pt" filled="f" o:ole="">
            <v:imagedata r:id="rId15" o:title=""/>
          </v:shape>
          <o:OLEObject Type="Embed" ProgID="" ShapeID="ole_rId14" DrawAspect="Content" ObjectID="_70802104" r:id="rId14"/>
        </w:object>
      </w:r>
    </w:p>
    <w:p>
      <w:pPr>
        <w:pStyle w:val="Normal"/>
        <w:spacing w:lineRule="auto" w:line="276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Рисунок А.5  Держатель источника</w:t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/>
        <w:object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367.5pt;height:294.5pt;mso-wrap-distance-right:0pt" filled="f" o:ole="">
            <v:imagedata r:id="rId17" o:title=""/>
          </v:shape>
          <o:OLEObject Type="Embed" ProgID="" ShapeID="ole_rId16" DrawAspect="Content" ObjectID="_1089457117" r:id="rId16"/>
        </w:object>
      </w:r>
    </w:p>
    <w:p>
      <w:pPr>
        <w:pStyle w:val="Normal"/>
        <w:spacing w:lineRule="auto" w:line="276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Рисунок А.6  Муфта соединительная</w:t>
      </w:r>
    </w:p>
    <w:p>
      <w:pPr>
        <w:pStyle w:val="Normal"/>
        <w:spacing w:lineRule="auto" w:line="26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/>
        <w:object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51.5pt;height:270pt;mso-wrap-distance-right:0pt" filled="f" o:ole="">
            <v:imagedata r:id="rId19" o:title=""/>
          </v:shape>
          <o:OLEObject Type="Embed" ProgID="" ShapeID="ole_rId18" DrawAspect="Content" ObjectID="_2009454276" r:id="rId18"/>
        </w:object>
      </w:r>
    </w:p>
    <w:p>
      <w:pPr>
        <w:pStyle w:val="Normal"/>
        <w:spacing w:lineRule="auto" w:line="276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  <w:t>Рисунок А.7  Перезарядный контейнер</w:t>
      </w:r>
    </w:p>
    <w:p>
      <w:pPr>
        <w:pStyle w:val="Normal"/>
        <w:spacing w:lineRule="auto" w:line="276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headerReference w:type="default" r:id="rId20"/>
      <w:headerReference w:type="first" r:id="rId21"/>
      <w:footerReference w:type="default" r:id="rId22"/>
      <w:footerReference w:type="first" r:id="rId23"/>
      <w:footnotePr>
        <w:numFmt w:val="decimal"/>
      </w:footnotePr>
      <w:type w:val="nextPage"/>
      <w:pgSz w:w="11906" w:h="16838"/>
      <w:pgMar w:left="1418" w:right="567" w:gutter="0" w:header="907" w:top="1134" w:footer="255" w:bottom="567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Tahoma">
    <w:charset w:val="01"/>
    <w:family w:val="swiss"/>
    <w:pitch w:val="default"/>
  </w:font>
  <w:font w:name="PT Astra Serif">
    <w:charset w:val="01"/>
    <w:family w:val="roman"/>
    <w:pitch w:val="default"/>
  </w:font>
  <w:font w:name="Arial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Cs w:val="24"/>
      </w:rPr>
    </w:pPr>
    <w:r>
      <w:rPr>
        <w:szCs w:val="24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sz w:val="22"/>
          <w:szCs w:val="22"/>
        </w:rPr>
      </w:pPr>
      <w:r>
        <w:rPr>
          <w:rStyle w:val="Style13"/>
        </w:rPr>
        <w:footnoteRef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Классификация гамма-дефектоскопов приведена по ГОСТ 23764-79 «Гамма-дефектоскопы. Общие технические условия».</w:t>
      </w:r>
    </w:p>
  </w:footnote>
  <w:footnote w:id="3">
    <w:p>
      <w:pPr>
        <w:pStyle w:val="FootnoteText"/>
        <w:rPr>
          <w:sz w:val="22"/>
          <w:szCs w:val="22"/>
        </w:rPr>
      </w:pPr>
      <w:r>
        <w:rPr>
          <w:rStyle w:val="Style13"/>
        </w:rPr>
        <w:footnoteRef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Комплектность гамма-дефектоскопов приведена  в соответствии с ГОСТ 23764-79 «Гамма-дефектоскопы. Общие технические условия» Приложение 3.</w:t>
      </w:r>
    </w:p>
  </w:footnote>
  <w:footnote w:id="4">
    <w:p>
      <w:pPr>
        <w:pStyle w:val="FootnoteText"/>
        <w:jc w:val="both"/>
        <w:rPr/>
      </w:pPr>
      <w:r>
        <w:rPr>
          <w:rStyle w:val="Style13"/>
        </w:rPr>
        <w:footnoteRef/>
      </w:r>
      <w:r>
        <w:rPr>
          <w:vertAlign w:val="superscript"/>
        </w:rPr>
        <w:t>)</w:t>
      </w:r>
      <w:r>
        <w:rPr/>
        <w:t xml:space="preserve">  Определяющими параметрами технического состояния могут являться: эксплуатационное число циклов, физико-механические характеристики конструкционных материалов, геометрические размеры составных частей, шероховатость поверхностей, механические повреждения и т.п.</w:t>
      </w:r>
    </w:p>
  </w:footnote>
  <w:footnote w:id="5">
    <w:p>
      <w:pPr>
        <w:pStyle w:val="FootnoteText"/>
        <w:jc w:val="both"/>
        <w:rPr/>
      </w:pPr>
      <w:r>
        <w:rPr>
          <w:rStyle w:val="Style13"/>
        </w:rPr>
        <w:footnoteRef/>
      </w:r>
      <w:r>
        <w:rPr>
          <w:vertAlign w:val="superscript"/>
        </w:rPr>
        <w:t>)</w:t>
      </w:r>
      <w:r>
        <w:rPr/>
        <w:t xml:space="preserve"> Критерий предельного состояния – признак или совокупность признаков предельного состояния объекта, установленные нормативно-технической и (или) конструкторской (проектной) документацией (ГОСТ 27.102-2021).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677" w:leader="none"/>
        <w:tab w:val="center" w:pos="4900" w:leader="none"/>
        <w:tab w:val="right" w:pos="9355" w:leader="none"/>
        <w:tab w:val="right" w:pos="9921" w:leader="none"/>
      </w:tabs>
      <w:jc w:val="center"/>
      <w:rPr>
        <w:sz w:val="24"/>
        <w:szCs w:val="24"/>
      </w:rPr>
    </w:pPr>
    <w:r>
      <w:rPr>
        <w:sz w:val="24"/>
        <w:szCs w:val="24"/>
      </w:rPr>
      <w:tab/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20</w:t>
    </w:r>
    <w:r>
      <w:rPr>
        <w:sz w:val="24"/>
        <w:szCs w:val="24"/>
      </w:rPr>
      <w:fldChar w:fldCharType="end"/>
    </w:r>
    <w:r>
      <w:rPr>
        <w:sz w:val="24"/>
        <w:szCs w:val="24"/>
      </w:rPr>
      <w:tab/>
    </w:r>
  </w:p>
  <w:p>
    <w:pPr>
      <w:pStyle w:val="Header"/>
      <w:jc w:val="center"/>
      <w:rPr>
        <w:sz w:val="24"/>
        <w:szCs w:val="24"/>
      </w:rPr>
    </w:pPr>
    <w:r>
      <w:rPr>
        <w:sz w:val="24"/>
        <w:szCs w:val="24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6097"/>
        </w:tabs>
        <w:ind w:left="4963" w:firstLine="283"/>
      </w:pPr>
      <w:rPr>
        <w:sz w:val="28"/>
        <w:i w:val="false"/>
        <w:b/>
        <w:szCs w:val="28"/>
        <w:rFonts w:ascii="Times New Roman" w:hAnsi="Times New Roman"/>
      </w:rPr>
    </w:lvl>
    <w:lvl w:ilvl="1">
      <w:start w:val="1"/>
      <w:isLgl/>
      <w:numFmt w:val="decimal"/>
      <w:lvlText w:val="%1.%2"/>
      <w:lvlJc w:val="left"/>
      <w:pPr>
        <w:tabs>
          <w:tab w:val="num" w:pos="1418"/>
        </w:tabs>
        <w:ind w:left="284" w:firstLine="567"/>
      </w:pPr>
      <w:rPr>
        <w:sz w:val="26"/>
        <w:i w:val="false"/>
        <w:b w:val="false"/>
        <w:szCs w:val="26"/>
        <w:rFonts w:ascii="Times New Roman" w:hAnsi="Times New Roman"/>
      </w:rPr>
    </w:lvl>
    <w:lvl w:ilvl="2">
      <w:start w:val="1"/>
      <w:isLgl/>
      <w:numFmt w:val="decimal"/>
      <w:lvlText w:val="%1.%2.%3"/>
      <w:lvlJc w:val="left"/>
      <w:pPr>
        <w:tabs>
          <w:tab w:val="num" w:pos="1559"/>
        </w:tabs>
        <w:ind w:left="284" w:firstLine="567"/>
      </w:pPr>
      <w:rPr>
        <w:sz w:val="26"/>
        <w:i w:val="false"/>
        <w:b w:val="false"/>
        <w:szCs w:val="26"/>
        <w:rFonts w:ascii="Times New Roman" w:hAnsi="Times New Roman"/>
      </w:rPr>
    </w:lvl>
    <w:lvl w:ilvl="3">
      <w:start w:val="1"/>
      <w:isLgl/>
      <w:numFmt w:val="decimal"/>
      <w:lvlText w:val="%1.%2.%3.%4."/>
      <w:lvlJc w:val="left"/>
      <w:pPr>
        <w:tabs>
          <w:tab w:val="num" w:pos="1741"/>
        </w:tabs>
        <w:ind w:left="1741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1948"/>
        </w:tabs>
        <w:ind w:left="1948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2515"/>
        </w:tabs>
        <w:ind w:left="2515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2722"/>
        </w:tabs>
        <w:ind w:left="2722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3289"/>
        </w:tabs>
        <w:ind w:left="3289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3496"/>
        </w:tabs>
        <w:ind w:left="3496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1134"/>
        </w:tabs>
        <w:ind w:left="284" w:firstLine="567"/>
      </w:pPr>
      <w:rPr>
        <w:rFonts w:ascii="Times New Roman" w:hAnsi="Times New Roman" w:cs="Times New Roman" w:hint="default"/>
        <w:sz w:val="24"/>
      </w:rPr>
    </w:lvl>
    <w:lvl w:ilvl="1">
      <w:start w:val="2"/>
      <w:numFmt w:val="decimal"/>
      <w:lvlText w:val="%2"/>
      <w:lvlJc w:val="left"/>
      <w:pPr>
        <w:tabs>
          <w:tab w:val="num" w:pos="1211"/>
        </w:tabs>
        <w:ind w:left="284" w:firstLine="567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0" w:after="0"/>
      <w:ind w:hanging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480" w:after="0"/>
      <w:ind w:hanging="0"/>
      <w:outlineLvl w:val="0"/>
    </w:pPr>
    <w:rPr>
      <w:rFonts w:ascii="Cambria" w:hAnsi="Cambria" w:eastAsia="Calibri" w:cs="Tahoma"/>
      <w:b/>
      <w:bCs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200" w:after="0"/>
      <w:ind w:hanging="0"/>
      <w:outlineLvl w:val="3"/>
    </w:pPr>
    <w:rPr>
      <w:rFonts w:ascii="Cambria" w:hAnsi="Cambria" w:eastAsia="Calibri" w:cs="Tahoma"/>
      <w:b/>
      <w:bCs/>
      <w:i/>
      <w:iCs/>
      <w:color w:themeColor="accent1" w:val="4F81BD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mbria" w:hAnsi="Cambria" w:eastAsia="Calibri" w:cs="Tahoma"/>
      <w:b/>
      <w:bCs/>
      <w:color w:themeColor="accent1" w:themeShade="bf" w:val="365F91"/>
      <w:sz w:val="28"/>
      <w:szCs w:val="28"/>
      <w:lang w:eastAsia="ru-RU"/>
    </w:rPr>
  </w:style>
  <w:style w:type="character" w:styleId="Style12">
    <w:name w:val="Текст с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3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4">
    <w:name w:val="Верхний колонтитул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3">
    <w:name w:val="Основной текст 3 Знак"/>
    <w:basedOn w:val="DefaultParagraphFont"/>
    <w:link w:val="BodyText3"/>
    <w:qFormat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5">
    <w:name w:val="Нижний колонтитул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6">
    <w:name w:val="Текст выноски Знак"/>
    <w:basedOn w:val="DefaultParagraphFont"/>
    <w:link w:val="BalloonText"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Style17">
    <w:name w:val="Основной текст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PageNumber">
    <w:name w:val="page number"/>
    <w:basedOn w:val="DefaultParagraphFont"/>
    <w:rPr/>
  </w:style>
  <w:style w:type="character" w:styleId="4">
    <w:name w:val="Заголовок 4 Знак"/>
    <w:basedOn w:val="DefaultParagraphFont"/>
    <w:qFormat/>
    <w:rPr>
      <w:rFonts w:ascii="Cambria" w:hAnsi="Cambria" w:eastAsia="Calibri" w:cs="Tahoma"/>
      <w:b/>
      <w:bCs/>
      <w:i/>
      <w:iCs/>
      <w:color w:themeColor="accent1" w:val="4F81BD"/>
      <w:sz w:val="20"/>
      <w:szCs w:val="20"/>
      <w:lang w:eastAsia="ru-RU"/>
    </w:rPr>
  </w:style>
  <w:style w:type="character" w:styleId="Style18">
    <w:name w:val="Символ концевой сноски"/>
    <w:qFormat/>
    <w:rPr/>
  </w:style>
  <w:style w:type="character" w:styleId="EndnoteReference">
    <w:name w:val="endnote reference"/>
    <w:rPr>
      <w:vertAlign w:val="superscript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link w:val="Style17"/>
    <w:pPr>
      <w:spacing w:before="0" w:after="12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11">
    <w:name w:val="Стиль 1"/>
    <w:basedOn w:val="Normal"/>
    <w:qFormat/>
    <w:pPr>
      <w:widowControl w:val="false"/>
      <w:numPr>
        <w:ilvl w:val="1"/>
        <w:numId w:val="1"/>
      </w:numPr>
      <w:spacing w:lineRule="auto" w:line="360"/>
      <w:ind w:right="284"/>
      <w:jc w:val="both"/>
    </w:pPr>
    <w:rPr>
      <w:sz w:val="26"/>
      <w:szCs w:val="26"/>
    </w:rPr>
  </w:style>
  <w:style w:type="paragraph" w:styleId="Style21">
    <w:name w:val="Заг инстр"/>
    <w:basedOn w:val="Heading1"/>
    <w:next w:val="11"/>
    <w:qFormat/>
    <w:pPr>
      <w:keepLines w:val="false"/>
      <w:numPr>
        <w:ilvl w:val="0"/>
        <w:numId w:val="1"/>
      </w:numPr>
      <w:tabs>
        <w:tab w:val="clear" w:pos="708"/>
        <w:tab w:val="left" w:pos="993" w:leader="none"/>
      </w:tabs>
      <w:suppressAutoHyphens w:val="true"/>
      <w:spacing w:lineRule="auto" w:line="360" w:before="240" w:after="240"/>
      <w:ind w:right="567"/>
      <w:jc w:val="center"/>
    </w:pPr>
    <w:rPr>
      <w:rFonts w:ascii="Times New Roman" w:hAnsi="Times New Roman" w:eastAsia="Times New Roman" w:cs="Times New Roman"/>
      <w:bCs w:val="false"/>
      <w:color w:themeColor="accent1" w:themeShade="bf" w:val="auto"/>
      <w:lang w:eastAsia="en-US"/>
    </w:rPr>
  </w:style>
  <w:style w:type="paragraph" w:styleId="41">
    <w:name w:val="Стиль 4"/>
    <w:basedOn w:val="Normal"/>
    <w:qFormat/>
    <w:pPr>
      <w:numPr>
        <w:ilvl w:val="2"/>
        <w:numId w:val="1"/>
      </w:numPr>
      <w:spacing w:lineRule="auto" w:line="360"/>
      <w:ind w:right="284"/>
      <w:jc w:val="both"/>
    </w:pPr>
    <w:rPr>
      <w:sz w:val="26"/>
      <w:szCs w:val="26"/>
    </w:rPr>
  </w:style>
  <w:style w:type="paragraph" w:styleId="31">
    <w:name w:val="Основной текст 31"/>
    <w:basedOn w:val="Normal"/>
    <w:qFormat/>
    <w:pPr>
      <w:widowControl w:val="false"/>
      <w:tabs>
        <w:tab w:val="clear" w:pos="708"/>
        <w:tab w:val="left" w:pos="1470" w:leader="none"/>
      </w:tabs>
      <w:jc w:val="both"/>
    </w:pPr>
    <w:rPr>
      <w:rFonts w:ascii="Arial" w:hAnsi="Arial"/>
      <w:sz w:val="24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FootnoteText">
    <w:name w:val="footnote text"/>
    <w:basedOn w:val="Normal"/>
    <w:link w:val="Style12"/>
    <w:pPr/>
    <w:rPr/>
  </w:style>
  <w:style w:type="paragraph" w:styleId="311">
    <w:name w:val="Основной текст с отступом 31"/>
    <w:basedOn w:val="Normal"/>
    <w:qFormat/>
    <w:pPr>
      <w:ind w:firstLine="709"/>
      <w:jc w:val="both"/>
    </w:pPr>
    <w:rPr>
      <w:rFonts w:ascii="Arial" w:hAnsi="Arial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">
    <w:name w:val="Стиль 2 новый"/>
    <w:basedOn w:val="Normal"/>
    <w:qFormat/>
    <w:pPr>
      <w:keepLines/>
      <w:numPr>
        <w:ilvl w:val="0"/>
        <w:numId w:val="3"/>
      </w:numPr>
      <w:tabs>
        <w:tab w:val="clear" w:pos="708"/>
        <w:tab w:val="left" w:pos="720" w:leader="none"/>
      </w:tabs>
      <w:spacing w:lineRule="auto" w:line="360"/>
      <w:ind w:hanging="360" w:left="720" w:right="284"/>
      <w:jc w:val="both"/>
    </w:pPr>
    <w:rPr>
      <w:sz w:val="28"/>
      <w:szCs w:val="28"/>
    </w:rPr>
  </w:style>
  <w:style w:type="paragraph" w:styleId="BodyText3">
    <w:name w:val="Body Text 3"/>
    <w:basedOn w:val="Normal"/>
    <w:link w:val="3"/>
    <w:qFormat/>
    <w:pPr>
      <w:spacing w:lineRule="auto" w:line="360" w:before="60" w:after="0"/>
    </w:pPr>
    <w:rPr>
      <w:sz w:val="28"/>
    </w:rPr>
  </w:style>
  <w:style w:type="paragraph" w:styleId="Footer">
    <w:name w:val="footer"/>
    <w:basedOn w:val="Normal"/>
    <w:link w:val="Style1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6"/>
    <w:qFormat/>
    <w:pPr/>
    <w:rPr>
      <w:rFonts w:ascii="Tahoma" w:hAnsi="Tahoma" w:cs="Tahoma"/>
      <w:sz w:val="16"/>
      <w:szCs w:val="16"/>
    </w:rPr>
  </w:style>
  <w:style w:type="paragraph" w:styleId="Style22">
    <w:name w:val="Содержимое врезки"/>
    <w:basedOn w:val="Normal"/>
    <w:qFormat/>
    <w:pPr/>
    <w:rPr/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BodyText2">
    <w:name w:val="Body Text 2"/>
    <w:basedOn w:val="Normal"/>
    <w:qFormat/>
    <w:pPr>
      <w:widowControl w:val="false"/>
    </w:pPr>
    <w:rPr>
      <w:sz w:val="20"/>
      <w:szCs w:val="20"/>
    </w:rPr>
  </w:style>
  <w:style w:type="numbering" w:styleId="Style24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1.jpeg"/><Relationship Id="rId6" Type="http://schemas.openxmlformats.org/officeDocument/2006/relationships/oleObject" Target="embeddings/oleObject1.bin"/><Relationship Id="rId7" Type="http://schemas.openxmlformats.org/officeDocument/2006/relationships/image" Target="media/image2.png"/><Relationship Id="rId8" Type="http://schemas.openxmlformats.org/officeDocument/2006/relationships/oleObject" Target="embeddings/oleObject2.bin"/><Relationship Id="rId9" Type="http://schemas.openxmlformats.org/officeDocument/2006/relationships/image" Target="media/image3.png"/><Relationship Id="rId10" Type="http://schemas.openxmlformats.org/officeDocument/2006/relationships/oleObject" Target="embeddings/oleObject3.bin"/><Relationship Id="rId11" Type="http://schemas.openxmlformats.org/officeDocument/2006/relationships/image" Target="media/image4.png"/><Relationship Id="rId12" Type="http://schemas.openxmlformats.org/officeDocument/2006/relationships/oleObject" Target="embeddings/oleObject4.bin"/><Relationship Id="rId13" Type="http://schemas.openxmlformats.org/officeDocument/2006/relationships/image" Target="media/image5.png"/><Relationship Id="rId14" Type="http://schemas.openxmlformats.org/officeDocument/2006/relationships/oleObject" Target="embeddings/oleObject5.bin"/><Relationship Id="rId15" Type="http://schemas.openxmlformats.org/officeDocument/2006/relationships/image" Target="media/image6.png"/><Relationship Id="rId16" Type="http://schemas.openxmlformats.org/officeDocument/2006/relationships/oleObject" Target="embeddings/oleObject6.bin"/><Relationship Id="rId17" Type="http://schemas.openxmlformats.org/officeDocument/2006/relationships/image" Target="media/image7.png"/><Relationship Id="rId18" Type="http://schemas.openxmlformats.org/officeDocument/2006/relationships/oleObject" Target="embeddings/oleObject7.bin"/><Relationship Id="rId19" Type="http://schemas.openxmlformats.org/officeDocument/2006/relationships/image" Target="media/image8.png"/><Relationship Id="rId20" Type="http://schemas.openxmlformats.org/officeDocument/2006/relationships/header" Target="header4.xml"/><Relationship Id="rId21" Type="http://schemas.openxmlformats.org/officeDocument/2006/relationships/header" Target="header5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notes" Target="footnotes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Application>LibreOffice/24.8.4.2$Linux_X86_64 LibreOffice_project/480$Build-2</Application>
  <AppVersion>15.0000</AppVersion>
  <Pages>20</Pages>
  <Words>3249</Words>
  <Characters>24585</Characters>
  <CharactersWithSpaces>27373</CharactersWithSpaces>
  <Paragraphs>480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2016-06-15T12:15:00Z</dcterms:created>
  <dc:creator>Журавлев</dc:creator>
  <dc:description/>
  <dc:language>ru-RU</dc:language>
  <cp:lastModifiedBy/>
  <cp:lastPrinted>2016-08-15T12:29:00Z</cp:lastPrinted>
  <dcterms:modified xsi:type="dcterms:W3CDTF">2026-06-26T10:11:20Z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