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embeddings/oleObject1.bin" ContentType="application/vnd.openxmlformats-officedocument.oleObject"/>
  <Override PartName="/word/document.xml" ContentType="application/vnd.openxmlformats-officedocument.wordprocessingml.document.main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6.jpeg" ContentType="image/jpeg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6" w:type="dxa"/>
        <w:jc w:val="left"/>
        <w:tblInd w:w="14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4678"/>
        <w:gridCol w:w="4677"/>
      </w:tblGrid>
      <w:tr>
        <w:trPr>
          <w:trHeight w:val="2215" w:hRule="atLeast"/>
        </w:trPr>
        <w:tc>
          <w:tcPr>
            <w:tcW w:w="4678" w:type="dxa"/>
            <w:tcBorders/>
          </w:tcPr>
          <w:p>
            <w:pPr>
              <w:pStyle w:val="Normal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tcW w:w="4677" w:type="dxa"/>
            <w:tcBorders/>
          </w:tcPr>
          <w:p>
            <w:pPr>
              <w:pStyle w:val="Normal"/>
              <w:ind w:left="497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УТВЕРЖДАЮ</w:t>
            </w:r>
          </w:p>
          <w:p>
            <w:pPr>
              <w:pStyle w:val="Normal"/>
              <w:spacing w:lineRule="auto" w:line="276"/>
              <w:ind w:left="497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Генеральный директор</w:t>
            </w:r>
          </w:p>
          <w:p>
            <w:pPr>
              <w:pStyle w:val="Normal"/>
              <w:ind w:left="497"/>
              <w:rPr>
                <w:rFonts w:ascii="Liberation Serif" w:hAnsi="Liberation Serif"/>
              </w:rPr>
            </w:pPr>
            <w:r>
              <w:rPr/>
            </w:r>
          </w:p>
          <w:p>
            <w:pPr>
              <w:pStyle w:val="Normal"/>
              <w:ind w:left="497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</w:r>
          </w:p>
          <w:p>
            <w:pPr>
              <w:pStyle w:val="Normal"/>
              <w:ind w:left="497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 xml:space="preserve">_______________ </w:t>
            </w:r>
          </w:p>
          <w:p>
            <w:pPr>
              <w:pStyle w:val="Normal"/>
              <w:ind w:left="497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«___»______________2026 г.</w:t>
            </w:r>
          </w:p>
          <w:p>
            <w:pPr>
              <w:pStyle w:val="Normal"/>
              <w:ind w:left="497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</w:r>
          </w:p>
        </w:tc>
      </w:tr>
    </w:tbl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Liberation Serif" w:hAnsi="Liberation Serif"/>
          <w:b w:val="false"/>
          <w:bCs w:val="false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  <w:t>Частная программа</w:t>
      </w:r>
    </w:p>
    <w:p>
      <w:pPr>
        <w:pStyle w:val="Normal"/>
        <w:spacing w:lineRule="auto" w:line="276"/>
        <w:jc w:val="center"/>
        <w:rPr>
          <w:rFonts w:ascii="Liberation Serif" w:hAnsi="Liberation Serif"/>
          <w:b w:val="false"/>
          <w:bCs w:val="false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  <w:t>обследования гамма-дефектоскопов типа «РИД-SE4P», принадлежащих</w:t>
      </w:r>
    </w:p>
    <w:p>
      <w:pPr>
        <w:pStyle w:val="Normal"/>
        <w:spacing w:lineRule="auto" w:line="276"/>
        <w:jc w:val="center"/>
        <w:rPr>
          <w:rFonts w:ascii="Liberation Serif" w:hAnsi="Liberation Serif"/>
          <w:b w:val="false"/>
          <w:bCs w:val="false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  <w:t>предприятию</w:t>
      </w:r>
      <w:r>
        <w:rPr>
          <w:rFonts w:cs="Arial" w:ascii="Liberation Serif" w:hAnsi="Liberation Serif"/>
          <w:b w:val="false"/>
          <w:bCs w:val="false"/>
          <w:sz w:val="24"/>
          <w:szCs w:val="24"/>
        </w:rPr>
        <w:t xml:space="preserve">, </w:t>
      </w:r>
    </w:p>
    <w:p>
      <w:pPr>
        <w:pStyle w:val="Normal"/>
        <w:spacing w:lineRule="auto" w:line="276"/>
        <w:jc w:val="center"/>
        <w:rPr>
          <w:rFonts w:ascii="Liberation Serif" w:hAnsi="Liberation Serif"/>
          <w:b w:val="false"/>
          <w:bCs w:val="false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  <w:t>при проведении работ по продлению назначенного срока их эксплуатации</w:t>
      </w:r>
    </w:p>
    <w:p>
      <w:pPr>
        <w:pStyle w:val="Header"/>
        <w:jc w:val="center"/>
        <w:rPr>
          <w:rFonts w:ascii="Liberation Serif" w:hAnsi="Liberation Serif"/>
          <w:b w:val="false"/>
          <w:bCs w:val="false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  <w:t xml:space="preserve">№ </w:t>
      </w:r>
      <w:r>
        <w:rPr>
          <w:rFonts w:cs="Arial" w:ascii="Liberation Serif" w:hAnsi="Liberation Serif"/>
          <w:b w:val="false"/>
          <w:bCs w:val="false"/>
          <w:sz w:val="24"/>
          <w:szCs w:val="24"/>
        </w:rPr>
        <w:t>198-1505-07/2026-42</w:t>
      </w:r>
    </w:p>
    <w:p>
      <w:pPr>
        <w:pStyle w:val="Normal"/>
        <w:jc w:val="center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  <w:lang w:val="en-US"/>
        </w:rPr>
      </w:pPr>
      <w:r>
        <w:rPr>
          <w:rFonts w:cs="Arial" w:ascii="Liberation Serif" w:hAnsi="Liberation Serif"/>
          <w:sz w:val="24"/>
          <w:szCs w:val="24"/>
          <w:lang w:val="en-US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  <w:lang w:val="en-US"/>
        </w:rPr>
      </w:pPr>
      <w:r>
        <w:rPr>
          <w:rFonts w:cs="Arial" w:ascii="Liberation Serif" w:hAnsi="Liberation Serif"/>
          <w:sz w:val="24"/>
          <w:szCs w:val="24"/>
          <w:lang w:val="en-US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  <w:lang w:val="en-US"/>
        </w:rPr>
      </w:pPr>
      <w:r>
        <w:rPr>
          <w:rFonts w:cs="Arial" w:ascii="Liberation Serif" w:hAnsi="Liberation Serif"/>
          <w:sz w:val="24"/>
          <w:szCs w:val="24"/>
          <w:lang w:val="en-US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ind w:firstLine="851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г. Сосновый Бор</w:t>
      </w:r>
    </w:p>
    <w:p>
      <w:pPr>
        <w:pStyle w:val="Normal"/>
        <w:spacing w:lineRule="auto" w:line="276"/>
        <w:jc w:val="center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 xml:space="preserve"> </w:t>
      </w:r>
      <w:r>
        <w:rPr>
          <w:rFonts w:cs="Arial" w:ascii="Liberation Serif" w:hAnsi="Liberation Serif"/>
          <w:sz w:val="24"/>
          <w:szCs w:val="24"/>
        </w:rPr>
        <w:t>2026 г.</w:t>
      </w:r>
    </w:p>
    <w:p>
      <w:pPr>
        <w:pStyle w:val="Normal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  <w:r>
        <w:br w:type="page"/>
      </w:r>
    </w:p>
    <w:p>
      <w:pPr>
        <w:pStyle w:val="Normal"/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21"/>
        <w:ind w:hanging="0"/>
        <w:jc w:val="center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Normal"/>
        <w:ind w:firstLine="709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СОДЕРЖАНИЕ</w:t>
      </w:r>
    </w:p>
    <w:p>
      <w:pPr>
        <w:pStyle w:val="Normal"/>
        <w:jc w:val="center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tbl>
      <w:tblPr>
        <w:tblW w:w="8647" w:type="dxa"/>
        <w:jc w:val="left"/>
        <w:tblInd w:w="5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50"/>
        <w:gridCol w:w="6378"/>
        <w:gridCol w:w="1419"/>
      </w:tblGrid>
      <w:tr>
        <w:trPr/>
        <w:tc>
          <w:tcPr>
            <w:tcW w:w="850" w:type="dxa"/>
            <w:tcBorders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 xml:space="preserve">№ </w:t>
            </w:r>
            <w:r>
              <w:rPr>
                <w:rFonts w:cs="Arial" w:ascii="Liberation Serif" w:hAnsi="Liberation Serif"/>
                <w:sz w:val="24"/>
                <w:szCs w:val="24"/>
              </w:rPr>
              <w:t>п/п</w:t>
            </w:r>
          </w:p>
        </w:tc>
        <w:tc>
          <w:tcPr>
            <w:tcW w:w="6378" w:type="dxa"/>
            <w:tcBorders/>
          </w:tcPr>
          <w:p>
            <w:pPr>
              <w:pStyle w:val="Normal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</w:r>
          </w:p>
        </w:tc>
        <w:tc>
          <w:tcPr>
            <w:tcW w:w="1419" w:type="dxa"/>
            <w:tcBorders/>
            <w:shd w:color="auto" w:fill="auto" w:val="clear"/>
          </w:tcPr>
          <w:p>
            <w:pPr>
              <w:pStyle w:val="Normal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1.</w:t>
            </w:r>
          </w:p>
        </w:tc>
        <w:tc>
          <w:tcPr>
            <w:tcW w:w="6378" w:type="dxa"/>
            <w:tcBorders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Назначение и область применения</w:t>
            </w:r>
          </w:p>
        </w:tc>
        <w:tc>
          <w:tcPr>
            <w:tcW w:w="1419" w:type="dxa"/>
            <w:tcBorders/>
            <w:shd w:color="auto" w:fill="auto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2.</w:t>
            </w:r>
          </w:p>
        </w:tc>
        <w:tc>
          <w:tcPr>
            <w:tcW w:w="6378" w:type="dxa"/>
            <w:tcBorders/>
          </w:tcPr>
          <w:p>
            <w:pPr>
              <w:pStyle w:val="Normal"/>
              <w:ind w:right="-250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Краткое описание дефектоскопа</w:t>
            </w:r>
          </w:p>
        </w:tc>
        <w:tc>
          <w:tcPr>
            <w:tcW w:w="1419" w:type="dxa"/>
            <w:tcBorders/>
            <w:shd w:color="auto" w:fill="auto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3.</w:t>
            </w:r>
          </w:p>
        </w:tc>
        <w:tc>
          <w:tcPr>
            <w:tcW w:w="6378" w:type="dxa"/>
            <w:tcBorders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Перечень узлов и элементов дефектоскопа</w:t>
            </w:r>
          </w:p>
        </w:tc>
        <w:tc>
          <w:tcPr>
            <w:tcW w:w="1419" w:type="dxa"/>
            <w:tcBorders/>
            <w:shd w:color="auto" w:fill="auto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4.</w:t>
            </w:r>
          </w:p>
        </w:tc>
        <w:tc>
          <w:tcPr>
            <w:tcW w:w="6378" w:type="dxa"/>
            <w:tcBorders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Методы и формы обследования, средства для их выполнения</w:t>
            </w:r>
          </w:p>
        </w:tc>
        <w:tc>
          <w:tcPr>
            <w:tcW w:w="1419" w:type="dxa"/>
            <w:tcBorders/>
            <w:shd w:color="auto" w:fill="auto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5.</w:t>
            </w:r>
          </w:p>
        </w:tc>
        <w:tc>
          <w:tcPr>
            <w:tcW w:w="6378" w:type="dxa"/>
            <w:tcBorders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Объем проверок</w:t>
            </w:r>
          </w:p>
        </w:tc>
        <w:tc>
          <w:tcPr>
            <w:tcW w:w="1419" w:type="dxa"/>
            <w:tcBorders/>
            <w:shd w:color="auto" w:fill="auto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6.</w:t>
            </w:r>
          </w:p>
        </w:tc>
        <w:tc>
          <w:tcPr>
            <w:tcW w:w="6378" w:type="dxa"/>
            <w:tcBorders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Методика проведения комплексного обследования</w:t>
            </w:r>
          </w:p>
        </w:tc>
        <w:tc>
          <w:tcPr>
            <w:tcW w:w="1419" w:type="dxa"/>
            <w:tcBorders/>
            <w:shd w:color="auto" w:fill="auto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850" w:type="dxa"/>
            <w:tcBorders/>
          </w:tcPr>
          <w:p>
            <w:pPr>
              <w:pStyle w:val="Normal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7.</w:t>
            </w:r>
          </w:p>
        </w:tc>
        <w:tc>
          <w:tcPr>
            <w:tcW w:w="6378" w:type="dxa"/>
            <w:tcBorders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Оформление результатов комплексного обследования</w:t>
            </w:r>
          </w:p>
        </w:tc>
        <w:tc>
          <w:tcPr>
            <w:tcW w:w="1419" w:type="dxa"/>
            <w:tcBorders/>
            <w:shd w:color="auto" w:fill="auto" w:val="clear"/>
          </w:tcPr>
          <w:p>
            <w:pPr>
              <w:pStyle w:val="Normal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13</w:t>
            </w:r>
          </w:p>
        </w:tc>
      </w:tr>
    </w:tbl>
    <w:p>
      <w:pPr>
        <w:pStyle w:val="Normal"/>
        <w:ind w:firstLine="709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  <w:r>
        <w:br w:type="page"/>
      </w:r>
    </w:p>
    <w:p>
      <w:pPr>
        <w:pStyle w:val="Normal"/>
        <w:spacing w:before="0" w:after="0"/>
        <w:ind w:firstLine="720"/>
        <w:jc w:val="both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sz w:val="24"/>
          <w:szCs w:val="24"/>
        </w:rPr>
        <w:t>1. Назначение и область применения</w:t>
      </w:r>
    </w:p>
    <w:p>
      <w:pPr>
        <w:pStyle w:val="Normal"/>
        <w:ind w:firstLine="720"/>
        <w:jc w:val="both"/>
        <w:rPr>
          <w:rFonts w:ascii="Liberation Serif" w:hAnsi="Liberation Serif" w:cs="Arial"/>
          <w:b/>
          <w:i/>
          <w:i/>
          <w:sz w:val="24"/>
          <w:szCs w:val="24"/>
        </w:rPr>
      </w:pPr>
      <w:r>
        <w:rPr>
          <w:rFonts w:cs="Arial" w:ascii="Liberation Serif" w:hAnsi="Liberation Serif"/>
          <w:b/>
          <w:i/>
          <w:sz w:val="24"/>
          <w:szCs w:val="24"/>
        </w:rPr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 xml:space="preserve">1.1. Настоящая «Частная программа обследования гамма-дефектоскопов типа «РИД-SE4P», принадлежащих </w:t>
      </w:r>
      <w:r>
        <w:rPr>
          <w:rFonts w:cs="Arial" w:ascii="Liberation Serif" w:hAnsi="Liberation Serif"/>
          <w:sz w:val="24"/>
          <w:szCs w:val="24"/>
        </w:rPr>
        <w:t>предприятию</w:t>
      </w:r>
      <w:r>
        <w:rPr>
          <w:rFonts w:cs="Arial" w:ascii="Liberation Serif" w:hAnsi="Liberation Serif"/>
          <w:sz w:val="24"/>
          <w:szCs w:val="24"/>
        </w:rPr>
        <w:t xml:space="preserve">, при проведении работ по продлению назначенного срока их эксплуатации» (№ </w:t>
      </w:r>
      <w:r>
        <w:rPr>
          <w:rFonts w:cs="Arial" w:ascii="Liberation Serif" w:hAnsi="Liberation Serif"/>
          <w:b w:val="false"/>
          <w:bCs w:val="false"/>
          <w:sz w:val="24"/>
          <w:szCs w:val="24"/>
        </w:rPr>
        <w:t>198-1505-07/2026-42</w:t>
      </w:r>
      <w:r>
        <w:rPr>
          <w:rFonts w:cs="Arial" w:ascii="Liberation Serif" w:hAnsi="Liberation Serif"/>
          <w:sz w:val="24"/>
          <w:szCs w:val="24"/>
        </w:rPr>
        <w:t xml:space="preserve">) (далее – частная программа) </w:t>
      </w:r>
      <w:r>
        <w:rPr>
          <w:rFonts w:cs="Arial" w:ascii="Liberation Serif" w:hAnsi="Liberation Serif"/>
          <w:color w:val="000000"/>
          <w:sz w:val="24"/>
          <w:szCs w:val="24"/>
        </w:rPr>
        <w:t xml:space="preserve">разработана </w:t>
      </w:r>
      <w:r>
        <w:rPr>
          <w:rFonts w:cs="Arial" w:ascii="Liberation Serif" w:hAnsi="Liberation Serif"/>
          <w:sz w:val="24"/>
          <w:szCs w:val="24"/>
        </w:rPr>
        <w:t>на основании требовании пункта 4.4 «Единых отраслевых методических указаний по обоснованию возможности продления назначенного срока эксплуатации объектов использования атомной энергии в организациях Госкорпорации «Росатом», утверждённых приказом Госкорпорации «Росатом» от 29.07.2024 №1/1387-П.</w:t>
      </w:r>
    </w:p>
    <w:p>
      <w:pPr>
        <w:pStyle w:val="Normal"/>
        <w:spacing w:lineRule="auto" w:line="276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При разработке частной программы были использованы следующие документы:</w:t>
      </w:r>
    </w:p>
    <w:p>
      <w:pPr>
        <w:pStyle w:val="ListParagraph"/>
        <w:numPr>
          <w:ilvl w:val="0"/>
          <w:numId w:val="2"/>
        </w:numPr>
        <w:ind w:firstLine="709" w:left="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Основные санитарные правила обеспечения радиационной безопасности, ОСПОРБ-99/2010;</w:t>
      </w:r>
    </w:p>
    <w:p>
      <w:pPr>
        <w:pStyle w:val="ListParagraph"/>
        <w:numPr>
          <w:ilvl w:val="0"/>
          <w:numId w:val="2"/>
        </w:numPr>
        <w:ind w:firstLine="709" w:left="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Общие положения обеспечения безопасности радиационных источников, НП-038-16 (с изменениями внесёнными приказом Ростехнадзора от 07 августа 2025 года № 262);</w:t>
      </w:r>
    </w:p>
    <w:p>
      <w:pPr>
        <w:pStyle w:val="ListParagraph"/>
        <w:numPr>
          <w:ilvl w:val="0"/>
          <w:numId w:val="2"/>
        </w:numPr>
        <w:ind w:firstLine="709" w:left="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Правила безопасности при транспортировании радиоактивных материалов, НП-053-16;</w:t>
      </w:r>
    </w:p>
    <w:p>
      <w:pPr>
        <w:pStyle w:val="ListParagraph"/>
        <w:numPr>
          <w:ilvl w:val="0"/>
          <w:numId w:val="2"/>
        </w:numPr>
        <w:ind w:firstLine="709" w:left="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Нормы радиационной безопасности, НРБ-99/2009;</w:t>
      </w:r>
    </w:p>
    <w:p>
      <w:pPr>
        <w:pStyle w:val="ListParagraph"/>
        <w:numPr>
          <w:ilvl w:val="0"/>
          <w:numId w:val="2"/>
        </w:numPr>
        <w:ind w:firstLine="709" w:left="0"/>
        <w:jc w:val="left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Свод санитарных правил в области обеспечения радиационной</w:t>
      </w:r>
      <w:r>
        <w:rPr>
          <w:rFonts w:cs="Arial" w:ascii="Liberation Serif" w:hAnsi="Liberation Serif"/>
          <w:sz w:val="28"/>
          <w:szCs w:val="28"/>
        </w:rPr>
        <w:t xml:space="preserve"> </w:t>
      </w:r>
      <w:r>
        <w:rPr>
          <w:rFonts w:cs="Arial" w:ascii="Liberation Serif" w:hAnsi="Liberation Serif"/>
          <w:sz w:val="24"/>
          <w:szCs w:val="24"/>
        </w:rPr>
        <w:t>безопасности населения (ССП-2025), СанПин 2.6.4115-25;</w:t>
      </w:r>
    </w:p>
    <w:p>
      <w:pPr>
        <w:pStyle w:val="ListParagraph"/>
        <w:numPr>
          <w:ilvl w:val="0"/>
          <w:numId w:val="2"/>
        </w:numPr>
        <w:ind w:firstLine="709" w:left="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Санитарные правила по радиационной безопасности персонала и населения при транспортировании радиоактивных материалов (веществ), СанПиН 2.6.1.1281-03;</w:t>
      </w:r>
    </w:p>
    <w:p>
      <w:pPr>
        <w:pStyle w:val="ListParagraph"/>
        <w:numPr>
          <w:ilvl w:val="0"/>
          <w:numId w:val="2"/>
        </w:numPr>
        <w:ind w:firstLine="709" w:left="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ГОСТ 16327-88 «Комплекты упаковочные транспортные для радиоактивных веществ. Общие технические условия»;</w:t>
      </w:r>
    </w:p>
    <w:p>
      <w:pPr>
        <w:pStyle w:val="ListParagraph"/>
        <w:numPr>
          <w:ilvl w:val="0"/>
          <w:numId w:val="2"/>
        </w:numPr>
        <w:ind w:firstLine="709" w:left="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Технические условия, ТУ 95 2575-95, еИ1.570.202 ТУ;</w:t>
      </w:r>
    </w:p>
    <w:p>
      <w:pPr>
        <w:pStyle w:val="ListParagraph"/>
        <w:numPr>
          <w:ilvl w:val="0"/>
          <w:numId w:val="2"/>
        </w:numPr>
        <w:ind w:firstLine="709" w:left="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Техническое описание и инструкция по эксплуатации, еИ1.570.202 ТО;</w:t>
      </w:r>
    </w:p>
    <w:p>
      <w:pPr>
        <w:pStyle w:val="ListParagraph"/>
        <w:numPr>
          <w:ilvl w:val="0"/>
          <w:numId w:val="2"/>
        </w:numPr>
        <w:ind w:firstLine="709" w:left="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  <w:szCs w:val="24"/>
        </w:rPr>
        <w:t xml:space="preserve">Общая программа комплексного обследования гамма-дефектоскопов, принадлежащих </w:t>
      </w:r>
      <w:r>
        <w:rPr>
          <w:rFonts w:cs="Arial" w:ascii="Liberation Serif" w:hAnsi="Liberation Serif"/>
          <w:sz w:val="24"/>
          <w:szCs w:val="24"/>
        </w:rPr>
        <w:t>предприятию</w:t>
      </w:r>
      <w:r>
        <w:rPr>
          <w:rFonts w:ascii="Liberation Serif" w:hAnsi="Liberation Serif"/>
          <w:sz w:val="24"/>
          <w:szCs w:val="24"/>
        </w:rPr>
        <w:t xml:space="preserve"> при проведении работ по продлению назначенного срока их эксплуатации (№198-1505-07/2026-38).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1.2. Частная программа распространяется на шланговые гамма-дефектоскопы типа «РИД-</w:t>
      </w:r>
      <w:r>
        <w:rPr>
          <w:rFonts w:cs="Arial" w:ascii="Liberation Serif" w:hAnsi="Liberation Serif"/>
          <w:sz w:val="24"/>
          <w:szCs w:val="24"/>
          <w:lang w:val="en-US"/>
        </w:rPr>
        <w:t>SE</w:t>
      </w:r>
      <w:r>
        <w:rPr>
          <w:rFonts w:cs="Arial" w:ascii="Liberation Serif" w:hAnsi="Liberation Serif"/>
          <w:sz w:val="24"/>
          <w:szCs w:val="24"/>
        </w:rPr>
        <w:t>4</w:t>
      </w:r>
      <w:r>
        <w:rPr>
          <w:rFonts w:cs="Arial" w:ascii="Liberation Serif" w:hAnsi="Liberation Serif"/>
          <w:sz w:val="24"/>
          <w:szCs w:val="24"/>
          <w:lang w:val="en-US"/>
        </w:rPr>
        <w:t>P</w:t>
      </w:r>
      <w:r>
        <w:rPr>
          <w:rFonts w:cs="Arial" w:ascii="Liberation Serif" w:hAnsi="Liberation Serif"/>
          <w:sz w:val="24"/>
          <w:szCs w:val="24"/>
        </w:rPr>
        <w:t>», предназначенные для работы с радионуклидными источниками гамма-излучения селен-75 (далее – дефектоскопы), назначенный ресурс или срок эксплуатации которых истек.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1.3. Частная программа определяет процедуры и порядок проведения работ по оценке возможности продления назначенного срока эксплуатации дефектоскопов, назначенный ресурс или срок эксплуатации  которых истек.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1.4. При проведении обследования следует соблюдать требования санитарных и гигиенических норм и правил, инструкций по радиационной безопасности, правил техники безопасности и пожарной безопасности.</w:t>
      </w:r>
    </w:p>
    <w:p>
      <w:pPr>
        <w:pStyle w:val="Normal"/>
        <w:ind w:firstLine="720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20"/>
        <w:jc w:val="both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sz w:val="24"/>
          <w:szCs w:val="24"/>
        </w:rPr>
        <w:t>2. Описание радиационной головки.</w:t>
      </w:r>
    </w:p>
    <w:p>
      <w:pPr>
        <w:pStyle w:val="Normal"/>
        <w:ind w:firstLine="720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Гамма-дефектоскопы типа «РИД-</w:t>
      </w:r>
      <w:r>
        <w:rPr>
          <w:rFonts w:cs="Arial" w:ascii="Liberation Serif" w:hAnsi="Liberation Serif"/>
          <w:sz w:val="24"/>
          <w:szCs w:val="24"/>
          <w:lang w:val="en-US"/>
        </w:rPr>
        <w:t>SE</w:t>
      </w:r>
      <w:r>
        <w:rPr>
          <w:rFonts w:cs="Arial" w:ascii="Liberation Serif" w:hAnsi="Liberation Serif"/>
          <w:sz w:val="24"/>
          <w:szCs w:val="24"/>
        </w:rPr>
        <w:t>4</w:t>
      </w:r>
      <w:r>
        <w:rPr>
          <w:rFonts w:cs="Arial" w:ascii="Liberation Serif" w:hAnsi="Liberation Serif"/>
          <w:sz w:val="24"/>
          <w:szCs w:val="24"/>
          <w:lang w:val="en-US"/>
        </w:rPr>
        <w:t>P</w:t>
      </w:r>
      <w:r>
        <w:rPr>
          <w:rFonts w:cs="Arial" w:ascii="Liberation Serif" w:hAnsi="Liberation Serif"/>
          <w:sz w:val="24"/>
          <w:szCs w:val="24"/>
        </w:rPr>
        <w:t xml:space="preserve">» предназначены </w:t>
      </w:r>
      <w:r>
        <w:rPr>
          <w:rFonts w:ascii="Liberation Serif" w:hAnsi="Liberation Serif"/>
          <w:sz w:val="24"/>
        </w:rPr>
        <w:t>для проведения неразрушающего контроля радиографическим методом качества сварки различных промышленных изделий и трубопроводов ответственного назначения как в условиях их изготовления, так и в монтажных условиях строительства и эксплуатации (тепловые и атомные электростанции, химические производства, судостроение, тяжелое и химическое машиностроение, нефтяная и газовая промышленность и др.).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>Гамма-дефектоскоп позволяет осуществлять контроль качества стальных изделий с толщиной в диапазоне от 5 до 80 мм.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>В качестве биологической защиты в гамма-дефектоскопе используется обедненный уран</w:t>
      </w:r>
      <w:r>
        <w:rPr>
          <w:rFonts w:ascii="Liberation Serif" w:hAnsi="Liberation Serif"/>
        </w:rPr>
        <w:t>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pacing w:val="4"/>
          <w:sz w:val="24"/>
          <w:szCs w:val="24"/>
        </w:rPr>
        <w:t xml:space="preserve">Радиационная головка </w:t>
      </w:r>
      <w:r>
        <w:rPr>
          <w:rFonts w:cs="Arial" w:ascii="Liberation Serif" w:hAnsi="Liberation Serif"/>
          <w:sz w:val="24"/>
          <w:szCs w:val="24"/>
        </w:rPr>
        <w:t>гамма-дефектоскопа типа РИД-SЕ4Р (RID-Se4P)</w:t>
      </w:r>
      <w:r>
        <w:rPr>
          <w:rFonts w:cs="Arial" w:ascii="Liberation Serif" w:hAnsi="Liberation Serif"/>
          <w:spacing w:val="4"/>
          <w:sz w:val="24"/>
          <w:szCs w:val="24"/>
        </w:rPr>
        <w:t xml:space="preserve"> (см. рисунок 1) состоит из стального нержавеющего корпуса (1), в котором размещены блок биологической защиты (5) и блокировочные устройства (2, 4). Блок биологической защиты выполнен из обедненного урана по ТУ 95 2045-90.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pacing w:val="4"/>
          <w:sz w:val="24"/>
          <w:szCs w:val="24"/>
        </w:rPr>
        <w:t xml:space="preserve">С одной стороны корпуса находятся механизмы блокировок держателя источника и штуцера подсоединения рабочей ветви пульта управления (4), а также ручка для переноски головки (8). В корпусе ручки расположены механизм указателя положения источника (6) (источник в положении «хранения» – зеленый, источник в «рабочем» положении – красный), рычаг блокировки одного цикла (7) и механизм фиксации </w:t>
      </w:r>
      <w:r>
        <w:rPr>
          <w:rFonts w:cs="Arial" w:ascii="Liberation Serif" w:hAnsi="Liberation Serif"/>
          <w:color w:val="000000"/>
          <w:spacing w:val="4"/>
          <w:sz w:val="24"/>
          <w:szCs w:val="24"/>
        </w:rPr>
        <w:t xml:space="preserve">держателя источника. 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pacing w:val="4"/>
          <w:sz w:val="24"/>
          <w:szCs w:val="24"/>
        </w:rPr>
        <w:t xml:space="preserve">С другой стороны корпуса находится механизм блокировки подсоединения штуцера ампулопровода). Расположение держателя источника (9) с источником </w:t>
      </w:r>
      <w:r>
        <w:rPr>
          <w:rFonts w:cs="Arial" w:ascii="Liberation Serif" w:hAnsi="Liberation Serif"/>
          <w:spacing w:val="4"/>
          <w:sz w:val="24"/>
          <w:szCs w:val="24"/>
        </w:rPr>
        <w:t xml:space="preserve">– </w:t>
      </w:r>
      <w:r>
        <w:rPr>
          <w:rFonts w:cs="Arial" w:ascii="Liberation Serif" w:hAnsi="Liberation Serif"/>
          <w:color w:val="000000"/>
          <w:spacing w:val="4"/>
          <w:sz w:val="24"/>
          <w:szCs w:val="24"/>
        </w:rPr>
        <w:t>вдоль горизонтальной оси радиационной головки.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pacing w:val="-2"/>
          <w:sz w:val="24"/>
          <w:szCs w:val="24"/>
        </w:rPr>
        <w:t>Механизмы блокировки с двух сторон закрыты защитными крышками (3).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pacing w:val="4"/>
          <w:sz w:val="24"/>
          <w:szCs w:val="24"/>
        </w:rPr>
        <w:t>Габаритные размеры, мм:</w:t>
      </w:r>
    </w:p>
    <w:p>
      <w:pPr>
        <w:pStyle w:val="Normal"/>
        <w:ind w:firstLine="1134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pacing w:val="4"/>
          <w:sz w:val="24"/>
          <w:szCs w:val="24"/>
        </w:rPr>
        <w:t>длина – 213;</w:t>
      </w:r>
    </w:p>
    <w:p>
      <w:pPr>
        <w:pStyle w:val="Normal"/>
        <w:ind w:firstLine="1134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pacing w:val="4"/>
          <w:sz w:val="24"/>
          <w:szCs w:val="24"/>
        </w:rPr>
        <w:t>ширина – 100;</w:t>
      </w:r>
    </w:p>
    <w:p>
      <w:pPr>
        <w:pStyle w:val="Normal"/>
        <w:ind w:firstLine="1134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pacing w:val="4"/>
          <w:sz w:val="24"/>
          <w:szCs w:val="24"/>
        </w:rPr>
        <w:t>высота – 175.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pacing w:val="4"/>
          <w:sz w:val="24"/>
          <w:szCs w:val="24"/>
        </w:rPr>
        <w:t xml:space="preserve">Масса брутто, кг, не более, – 7,2.  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pacing w:val="4"/>
          <w:sz w:val="24"/>
          <w:szCs w:val="24"/>
        </w:rPr>
        <w:t>При перевозке радиационная головка может помещаться в охранную тару (металлический ящик).</w:t>
      </w:r>
    </w:p>
    <w:p>
      <w:pPr>
        <w:pStyle w:val="Normal"/>
        <w:jc w:val="center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left="-142"/>
        <w:jc w:val="center"/>
        <w:rPr>
          <w:rFonts w:ascii="Liberation Serif" w:hAnsi="Liberation Serif"/>
        </w:rPr>
      </w:pPr>
      <w:r>
        <w:rPr/>
        <w:drawing>
          <wp:inline distT="0" distB="0" distL="0" distR="0">
            <wp:extent cx="4825365" cy="340423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340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851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 xml:space="preserve">1 – корпус; 2 – механизм блокировки ампулопровода; </w:t>
        <w:br/>
        <w:t xml:space="preserve">3 – крышка; 4 – механизм блокировки держателя источника; </w:t>
        <w:br/>
        <w:t xml:space="preserve">5 – блок биологической защиты; 6 – индикатор; 7 – рычаг; </w:t>
        <w:br/>
        <w:t>8  – ручка; 9 – держатель источника.</w:t>
      </w:r>
    </w:p>
    <w:p>
      <w:pPr>
        <w:pStyle w:val="Normal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/>
        <w:drawing>
          <wp:inline distT="0" distB="0" distL="0" distR="0">
            <wp:extent cx="4026535" cy="3019425"/>
            <wp:effectExtent l="0" t="0" r="0" b="0"/>
            <wp:docPr id="2" name="Рисунок 5" descr="РИД-Se4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 descr="РИД-Se4P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535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firstLine="7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252"/>
        <w:jc w:val="center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sz w:val="24"/>
          <w:szCs w:val="24"/>
        </w:rPr>
        <w:t>Рисунок 1. Головка радиационная гамма-дефектоскопа</w:t>
      </w:r>
    </w:p>
    <w:p>
      <w:pPr>
        <w:pStyle w:val="Normal"/>
        <w:jc w:val="center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sz w:val="24"/>
          <w:szCs w:val="24"/>
        </w:rPr>
        <w:t>типа РИД-</w:t>
      </w:r>
      <w:r>
        <w:rPr>
          <w:rFonts w:cs="Arial" w:ascii="Liberation Serif" w:hAnsi="Liberation Serif"/>
          <w:b/>
          <w:i w:val="false"/>
          <w:iCs w:val="false"/>
          <w:sz w:val="24"/>
          <w:szCs w:val="24"/>
          <w:lang w:val="en-US"/>
        </w:rPr>
        <w:t>S</w:t>
      </w:r>
      <w:r>
        <w:rPr>
          <w:rFonts w:cs="Arial" w:ascii="Liberation Serif" w:hAnsi="Liberation Serif"/>
          <w:b/>
          <w:i w:val="false"/>
          <w:iCs w:val="false"/>
          <w:sz w:val="24"/>
          <w:szCs w:val="24"/>
        </w:rPr>
        <w:t>Е4</w:t>
      </w:r>
      <w:r>
        <w:rPr>
          <w:rFonts w:cs="Arial" w:ascii="Liberation Serif" w:hAnsi="Liberation Serif"/>
          <w:b/>
          <w:i w:val="false"/>
          <w:iCs w:val="false"/>
          <w:sz w:val="24"/>
          <w:szCs w:val="24"/>
          <w:lang w:val="en-US"/>
        </w:rPr>
        <w:t>P</w:t>
      </w:r>
    </w:p>
    <w:p>
      <w:pPr>
        <w:pStyle w:val="Normal"/>
        <w:ind w:firstLine="720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2.2. Управление работой дефектоскопа осуществляется дистанционно с ручного пульта управления на расстоянии до 8 м. Дефектоскоп обеспечивает перемещение источника излучения по ампулопроводу на расстояние до 8 м.</w:t>
      </w:r>
    </w:p>
    <w:p>
      <w:pPr>
        <w:pStyle w:val="Normal"/>
        <w:ind w:firstLine="720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20"/>
        <w:jc w:val="both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sz w:val="24"/>
          <w:szCs w:val="24"/>
        </w:rPr>
        <w:t>3. Перечень узлов и элементов дефектоскопа</w:t>
      </w:r>
    </w:p>
    <w:p>
      <w:pPr>
        <w:pStyle w:val="Normal"/>
        <w:ind w:firstLine="720"/>
        <w:jc w:val="both"/>
        <w:rPr>
          <w:rFonts w:ascii="Liberation Serif" w:hAnsi="Liberation Serif" w:cs="Arial"/>
          <w:b/>
          <w:i/>
          <w:i/>
          <w:sz w:val="24"/>
          <w:szCs w:val="24"/>
        </w:rPr>
      </w:pPr>
      <w:r>
        <w:rPr>
          <w:rFonts w:cs="Arial" w:ascii="Liberation Serif" w:hAnsi="Liberation Serif"/>
          <w:b/>
          <w:i/>
          <w:sz w:val="24"/>
          <w:szCs w:val="24"/>
        </w:rPr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3.1. Перечень узлов и элементов дефектоскопов типа «РИД-</w:t>
      </w:r>
      <w:r>
        <w:rPr>
          <w:rFonts w:cs="Arial" w:ascii="Liberation Serif" w:hAnsi="Liberation Serif"/>
          <w:sz w:val="24"/>
          <w:szCs w:val="24"/>
          <w:lang w:val="en-US"/>
        </w:rPr>
        <w:t>SE</w:t>
      </w:r>
      <w:r>
        <w:rPr>
          <w:rFonts w:cs="Arial" w:ascii="Liberation Serif" w:hAnsi="Liberation Serif"/>
          <w:sz w:val="24"/>
          <w:szCs w:val="24"/>
        </w:rPr>
        <w:t>4</w:t>
      </w:r>
      <w:r>
        <w:rPr>
          <w:rFonts w:cs="Arial" w:ascii="Liberation Serif" w:hAnsi="Liberation Serif"/>
          <w:sz w:val="24"/>
          <w:szCs w:val="24"/>
          <w:lang w:val="en-US"/>
        </w:rPr>
        <w:t>P</w:t>
      </w:r>
      <w:r>
        <w:rPr>
          <w:rFonts w:cs="Arial" w:ascii="Liberation Serif" w:hAnsi="Liberation Serif"/>
          <w:sz w:val="24"/>
          <w:szCs w:val="24"/>
        </w:rPr>
        <w:t>» приведен в таблице 1.</w:t>
      </w:r>
    </w:p>
    <w:p>
      <w:pPr>
        <w:pStyle w:val="Normal"/>
        <w:ind w:firstLine="720"/>
        <w:jc w:val="right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Таблица 1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8"/>
        <w:gridCol w:w="3829"/>
        <w:gridCol w:w="3828"/>
        <w:gridCol w:w="1451"/>
      </w:tblGrid>
      <w:tr>
        <w:trPr>
          <w:tblHeader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 xml:space="preserve">№ </w:t>
            </w:r>
            <w:r>
              <w:rPr>
                <w:rFonts w:cs="Arial" w:ascii="Liberation Serif" w:hAnsi="Liberation Serif"/>
                <w:sz w:val="24"/>
                <w:szCs w:val="24"/>
              </w:rPr>
              <w:t>п/п</w:t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Наименование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Обозначение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 xml:space="preserve">№ </w:t>
            </w:r>
            <w:r>
              <w:rPr>
                <w:rFonts w:cs="Arial" w:ascii="Liberation Serif" w:hAnsi="Liberation Serif"/>
                <w:sz w:val="24"/>
                <w:szCs w:val="24"/>
              </w:rPr>
              <w:t>рисунка</w:t>
            </w:r>
          </w:p>
        </w:tc>
      </w:tr>
      <w:tr>
        <w:trPr/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numPr>
                <w:ilvl w:val="0"/>
                <w:numId w:val="1"/>
              </w:numPr>
              <w:ind w:hanging="0" w:left="0"/>
              <w:jc w:val="center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Головка радиационная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еИ3.400.097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numPr>
                <w:ilvl w:val="0"/>
                <w:numId w:val="1"/>
              </w:numPr>
              <w:ind w:hanging="0" w:left="0"/>
              <w:jc w:val="center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Ампулопровод гибкий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еИ6.438.130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numPr>
                <w:ilvl w:val="0"/>
                <w:numId w:val="1"/>
              </w:numPr>
              <w:ind w:hanging="0" w:left="0"/>
              <w:jc w:val="center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Коллиматор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5.176.168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numPr>
                <w:ilvl w:val="0"/>
                <w:numId w:val="1"/>
              </w:numPr>
              <w:ind w:hanging="0" w:left="0"/>
              <w:jc w:val="center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</w:r>
          </w:p>
        </w:tc>
        <w:tc>
          <w:tcPr>
            <w:tcW w:w="3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Пульт управления (ручной)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еИ3.624.150-01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3</w:t>
            </w:r>
          </w:p>
        </w:tc>
      </w:tr>
    </w:tbl>
    <w:p>
      <w:pPr>
        <w:pStyle w:val="Normal"/>
        <w:ind w:firstLine="709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09"/>
        <w:jc w:val="both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sz w:val="24"/>
          <w:szCs w:val="24"/>
        </w:rPr>
        <w:t>4. Методы и формы обследования, средства для их выполнения</w:t>
      </w:r>
    </w:p>
    <w:p>
      <w:pPr>
        <w:pStyle w:val="Normal"/>
        <w:ind w:firstLine="709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4.1. При проведении обследования дефектоскопа применяются следующие методы:</w:t>
      </w:r>
    </w:p>
    <w:p>
      <w:pPr>
        <w:pStyle w:val="ListParagraph"/>
        <w:numPr>
          <w:ilvl w:val="0"/>
          <w:numId w:val="3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изучение и анализ эксплуатационной документации;</w:t>
      </w:r>
    </w:p>
    <w:p>
      <w:pPr>
        <w:pStyle w:val="ListParagraph"/>
        <w:numPr>
          <w:ilvl w:val="0"/>
          <w:numId w:val="3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визуальное обследование;</w:t>
      </w:r>
    </w:p>
    <w:p>
      <w:pPr>
        <w:pStyle w:val="ListParagraph"/>
        <w:numPr>
          <w:ilvl w:val="0"/>
          <w:numId w:val="3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инструментальное обследование.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4.2. При изучении и анализе эксплуатационной документации (формуляр, техническое описание и инструкция по эксплуатации) определяются и рассматриваются следующие данные: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марка, тип и модель     дефектоскопа</w:t>
      </w:r>
      <w:r>
        <w:rPr>
          <w:rFonts w:cs="Arial" w:ascii="Liberation Serif" w:hAnsi="Liberation Serif"/>
          <w:sz w:val="24"/>
          <w:szCs w:val="24"/>
        </w:rPr>
        <w:t>;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дата выпуска и назначенный срок службы дефектоскопа</w:t>
      </w:r>
      <w:r>
        <w:rPr>
          <w:rFonts w:cs="Arial" w:ascii="Liberation Serif" w:hAnsi="Liberation Serif"/>
          <w:sz w:val="24"/>
          <w:szCs w:val="24"/>
        </w:rPr>
        <w:t>;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дата ввода в эксплуатацию;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комплектность дефектоскопа, предъявляемого на проверку;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учет наработки (количество циклов);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перечень неисправностей в период эксплуатации;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сведения об учете технического обслуживания;</w:t>
      </w:r>
    </w:p>
    <w:p>
      <w:pPr>
        <w:pStyle w:val="ListParagraph"/>
        <w:numPr>
          <w:ilvl w:val="0"/>
          <w:numId w:val="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ремонтные работы с указанием замененных частей</w:t>
      </w:r>
      <w:r>
        <w:rPr>
          <w:rFonts w:cs="Arial" w:ascii="Liberation Serif" w:hAnsi="Liberation Serif"/>
          <w:sz w:val="24"/>
          <w:szCs w:val="24"/>
        </w:rPr>
        <w:t>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4.3. Визуальное обследование проводится с целью: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определения отклонений от конструкторской документации;</w:t>
      </w:r>
    </w:p>
    <w:p>
      <w:pPr>
        <w:pStyle w:val="ListParagraph"/>
        <w:numPr>
          <w:ilvl w:val="0"/>
          <w:numId w:val="5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определения наличия механических повреждений.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Визуальное обследование производится при достаточном освещении с использованием при необходимости лупы многократного увеличения по ГОСТ 25706-83.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4.4. Инструментальное обследование проводится с целью:</w:t>
      </w:r>
    </w:p>
    <w:p>
      <w:pPr>
        <w:pStyle w:val="ListParagraph"/>
        <w:numPr>
          <w:ilvl w:val="0"/>
          <w:numId w:val="6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измерения контрольных параметров, обеспечивающих безопасную эксплуатацию дефектоскопа, (мощность дозы на поверхности радиационной головки и на расстоянии 1 м от нее, наличие снимаемого радиоактивного загрязнения);</w:t>
      </w:r>
    </w:p>
    <w:p>
      <w:pPr>
        <w:pStyle w:val="ListParagraph"/>
        <w:numPr>
          <w:ilvl w:val="0"/>
          <w:numId w:val="6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определения остаточного ресурса изнашивающихся составных частей путем измерения их геометрических размеров;</w:t>
      </w:r>
    </w:p>
    <w:p>
      <w:pPr>
        <w:pStyle w:val="ListParagraph"/>
        <w:numPr>
          <w:ilvl w:val="0"/>
          <w:numId w:val="6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измерения физических параметров, характеризующих работоспособность дефектоскопа (усилий перемещения и фиксации составных частей);</w:t>
      </w:r>
    </w:p>
    <w:p>
      <w:pPr>
        <w:pStyle w:val="ListParagraph"/>
        <w:numPr>
          <w:ilvl w:val="0"/>
          <w:numId w:val="6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измерения критериев предельного состояния;</w:t>
      </w:r>
    </w:p>
    <w:p>
      <w:pPr>
        <w:pStyle w:val="ListParagraph"/>
        <w:numPr>
          <w:ilvl w:val="0"/>
          <w:numId w:val="6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проведения испытаний составных частей, комплектующих изделий и оборудования в целом с целью оценки технического состояния.</w:t>
      </w:r>
    </w:p>
    <w:p>
      <w:pPr>
        <w:pStyle w:val="Aaoieeeieiioeoo"/>
        <w:tabs>
          <w:tab w:val="clear" w:pos="4153"/>
          <w:tab w:val="clear" w:pos="8306"/>
        </w:tabs>
        <w:rPr>
          <w:rFonts w:ascii="Liberation Serif" w:hAnsi="Liberation Serif"/>
        </w:rPr>
      </w:pPr>
      <w:r>
        <w:rPr>
          <w:rFonts w:cs="Arial" w:ascii="Liberation Serif" w:hAnsi="Liberation Serif"/>
          <w:szCs w:val="24"/>
        </w:rPr>
        <w:t>При инструментальном обследовании используются следующие технические средства, указанные в таблице 2.</w:t>
      </w:r>
    </w:p>
    <w:p>
      <w:pPr>
        <w:pStyle w:val="Normal"/>
        <w:ind w:firstLine="720" w:right="565"/>
        <w:jc w:val="right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Таблица 2</w:t>
      </w:r>
    </w:p>
    <w:p>
      <w:pPr>
        <w:pStyle w:val="Normal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tbl>
      <w:tblPr>
        <w:tblW w:w="85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67"/>
        <w:gridCol w:w="2836"/>
        <w:gridCol w:w="1700"/>
        <w:gridCol w:w="1701"/>
        <w:gridCol w:w="1702"/>
      </w:tblGrid>
      <w:tr>
        <w:trPr>
          <w:tblHeader w:val="true"/>
          <w:trHeight w:val="615" w:hRule="atLeast"/>
          <w:cantSplit w:val="true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 xml:space="preserve">№ </w:t>
            </w:r>
            <w:r>
              <w:rPr>
                <w:rFonts w:cs="Arial" w:ascii="Liberation Serif" w:hAnsi="Liberation Serif"/>
                <w:sz w:val="24"/>
                <w:szCs w:val="24"/>
              </w:rPr>
              <w:t>п/п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Наименование</w:t>
            </w:r>
          </w:p>
          <w:p>
            <w:pPr>
              <w:pStyle w:val="BodyTextIndent3"/>
              <w:ind w:hanging="0"/>
              <w:jc w:val="left"/>
              <w:rPr>
                <w:rFonts w:ascii="Liberation Serif" w:hAnsi="Liberation Serif" w:cs="Arial"/>
                <w:sz w:val="24"/>
                <w:szCs w:val="24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Диапазон измерения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Допустимая погрешность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1.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Дозиметр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мкЗв/ч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0÷2000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±20%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2.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Радиометр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Бк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0÷1000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±20%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3.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Штангенциркуль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мм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0÷250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0,05 мм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4.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Мерный щуп (набор)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мм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0,1÷1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0,01 мм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5.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Мерная плитка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мм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3,4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0,01 мм</w:t>
            </w:r>
          </w:p>
        </w:tc>
      </w:tr>
      <w:tr>
        <w:trPr>
          <w:cantSplit w:val="true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6.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Динамометр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left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0÷150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Indent3"/>
              <w:ind w:hanging="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sz w:val="24"/>
                <w:szCs w:val="24"/>
              </w:rPr>
              <w:t>±5%</w:t>
            </w:r>
          </w:p>
        </w:tc>
      </w:tr>
    </w:tbl>
    <w:p>
      <w:pPr>
        <w:pStyle w:val="Normal"/>
        <w:ind w:firstLine="720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20"/>
        <w:jc w:val="both"/>
        <w:rPr>
          <w:b/>
          <w:bCs/>
          <w:i w:val="false"/>
          <w:i w:val="false"/>
          <w:iCs w:val="false"/>
        </w:rPr>
      </w:pPr>
      <w:r>
        <w:rPr>
          <w:rFonts w:cs="Arial" w:ascii="Liberation Serif" w:hAnsi="Liberation Serif"/>
          <w:b/>
          <w:bCs/>
          <w:i w:val="false"/>
          <w:iCs w:val="false"/>
          <w:sz w:val="24"/>
          <w:szCs w:val="24"/>
        </w:rPr>
        <w:t xml:space="preserve">5. Объем проверок </w:t>
      </w:r>
    </w:p>
    <w:p>
      <w:pPr>
        <w:pStyle w:val="Normal"/>
        <w:ind w:firstLine="720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numPr>
          <w:ilvl w:val="0"/>
          <w:numId w:val="18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5.1. В соответствии с требованиями п. 22 НП-038-16 определены системы и элементы, важные для безопасности гамма-дефектоскопов: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5.1.1. Система хранения радионуклидного источника.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К системе хранения относится корпус радиационной головки (рисунок 1 поз. 1):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- блок радиационной защиты;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- гибкий вал с держателем источника;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- механизм блокировки ампулопровода;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- механизм блокировки держателя источника.</w:t>
      </w:r>
    </w:p>
    <w:p>
      <w:pPr>
        <w:pStyle w:val="Normal"/>
        <w:ind w:hanging="900" w:left="16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5.1.2. Система перемещения радионуклидного источника.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К системе перемещения радионуклидного источника относятся (рисунки 1, А.3.2; А.5).:</w:t>
      </w:r>
    </w:p>
    <w:p>
      <w:pPr>
        <w:pStyle w:val="ListParagraph"/>
        <w:numPr>
          <w:ilvl w:val="0"/>
          <w:numId w:val="1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головка направляющая,</w:t>
      </w:r>
    </w:p>
    <w:p>
      <w:pPr>
        <w:pStyle w:val="ListParagraph"/>
        <w:numPr>
          <w:ilvl w:val="0"/>
          <w:numId w:val="1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ампулопровод,</w:t>
      </w:r>
    </w:p>
    <w:p>
      <w:pPr>
        <w:pStyle w:val="ListParagraph"/>
        <w:numPr>
          <w:ilvl w:val="0"/>
          <w:numId w:val="1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 xml:space="preserve">коллиматор, </w:t>
      </w:r>
    </w:p>
    <w:p>
      <w:pPr>
        <w:pStyle w:val="ListParagraph"/>
        <w:numPr>
          <w:ilvl w:val="0"/>
          <w:numId w:val="14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 xml:space="preserve">пульт управления 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5.1.3. Система управления перемещением и фиксации радионуклидного источника.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К системе управления перемещением и фиксации радионуклидного источника.</w:t>
      </w:r>
    </w:p>
    <w:p>
      <w:pPr>
        <w:pStyle w:val="Normal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 xml:space="preserve">относится пульт управления (рисунок 3): </w:t>
      </w:r>
    </w:p>
    <w:p>
      <w:pPr>
        <w:pStyle w:val="ListParagraph"/>
        <w:numPr>
          <w:ilvl w:val="0"/>
          <w:numId w:val="13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трос зубчатый, привод, шланги гибкие, штуцер.</w:t>
      </w:r>
    </w:p>
    <w:p>
      <w:pPr>
        <w:pStyle w:val="Normal"/>
        <w:ind w:hanging="900" w:left="1620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hanging="900" w:left="16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5.1.4. Система блокировок.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К системе блокировок относятся головка радиационная (рисунок 1):</w:t>
      </w:r>
    </w:p>
    <w:p>
      <w:pPr>
        <w:pStyle w:val="ListParagraph"/>
        <w:numPr>
          <w:ilvl w:val="0"/>
          <w:numId w:val="12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механизм блокировки ампулопровода;</w:t>
      </w:r>
    </w:p>
    <w:p>
      <w:pPr>
        <w:pStyle w:val="ListParagraph"/>
        <w:numPr>
          <w:ilvl w:val="0"/>
          <w:numId w:val="12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механизм блокировки держателя источника;</w:t>
      </w:r>
    </w:p>
    <w:p>
      <w:pPr>
        <w:pStyle w:val="ListParagraph"/>
        <w:numPr>
          <w:ilvl w:val="0"/>
          <w:numId w:val="12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блок биологической защиты;</w:t>
      </w:r>
    </w:p>
    <w:p>
      <w:pPr>
        <w:pStyle w:val="ListParagraph"/>
        <w:numPr>
          <w:ilvl w:val="0"/>
          <w:numId w:val="12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индикатор.</w:t>
      </w:r>
    </w:p>
    <w:p>
      <w:pPr>
        <w:pStyle w:val="Normal"/>
        <w:ind w:firstLine="709"/>
        <w:jc w:val="both"/>
        <w:rPr>
          <w:rFonts w:ascii="Liberation Serif" w:hAnsi="Liberation Serif" w:cs="Arial"/>
          <w:sz w:val="24"/>
          <w:szCs w:val="24"/>
          <w:highlight w:val="yellow"/>
        </w:rPr>
      </w:pPr>
      <w:r>
        <w:rPr>
          <w:rFonts w:cs="Arial" w:ascii="Liberation Serif" w:hAnsi="Liberation Serif"/>
          <w:sz w:val="24"/>
          <w:szCs w:val="24"/>
          <w:highlight w:val="yellow"/>
        </w:rPr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Элементы систем гамма-дефектоскопов, важные для безопасности приведены в таблице 3.</w:t>
      </w:r>
    </w:p>
    <w:p>
      <w:pPr>
        <w:pStyle w:val="Normal"/>
        <w:ind w:firstLine="720"/>
        <w:jc w:val="both"/>
        <w:rPr>
          <w:rFonts w:ascii="Liberation Serif" w:hAnsi="Liberation Serif" w:cs="Arial"/>
          <w:sz w:val="24"/>
          <w:szCs w:val="24"/>
          <w:highlight w:val="yellow"/>
        </w:rPr>
      </w:pPr>
      <w:r>
        <w:rPr>
          <w:rFonts w:cs="Arial" w:ascii="Liberation Serif" w:hAnsi="Liberation Serif"/>
          <w:sz w:val="24"/>
          <w:szCs w:val="24"/>
          <w:highlight w:val="yellow"/>
        </w:rPr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5.2. В соответствии с п. 23 НП-038-16 элементы систем дефектоскопов по влиянию на безопасность разделены на три класса безопасности.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5.2.1. К классу безопасности 1, относятся важные для безопасности элементы гамма-дефектоскопов, в которых содержатся РВ с активностью, соответствующей I классу работ с РВ, и радиационные источники категории радиационной опасности 1, 2 или 3.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5.2.2. К классу безопасности 2 относятся важные для безопасности элементы гамма-дефектоскопов, не отнесенные к классу безопасности 1.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5.2.3. К классу безопасности 3 относятся элементы, не влияющие на безопасность гамма-дефектоскопов.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 xml:space="preserve"> </w:t>
      </w:r>
      <w:r>
        <w:rPr>
          <w:rFonts w:cs="Arial" w:ascii="Liberation Serif" w:hAnsi="Liberation Serif"/>
          <w:sz w:val="24"/>
          <w:szCs w:val="24"/>
        </w:rPr>
        <w:t>Класс безопасности систем и элементов показан в таблице 3.</w:t>
      </w:r>
    </w:p>
    <w:p>
      <w:pPr>
        <w:pStyle w:val="Normal"/>
        <w:ind w:firstLine="720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 xml:space="preserve"> </w:t>
      </w:r>
      <w:r>
        <w:rPr>
          <w:rFonts w:cs="Arial" w:ascii="Liberation Serif" w:hAnsi="Liberation Serif"/>
          <w:sz w:val="24"/>
          <w:szCs w:val="24"/>
        </w:rPr>
        <w:t xml:space="preserve">5.3. При подготовке к проведению комплексного обследования дефектоскопа должны быть выявлены и по возможности устранены дефициты безопасности. </w:t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Перечень основных узлов и элементов дефектоскопов, методы выявления и устранения дефицитов безопасности приведены в таблице 3.</w:t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firstLine="720" w:left="5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firstLine="720" w:left="5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firstLine="720" w:left="5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firstLine="720" w:left="5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firstLine="720" w:left="5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firstLine="720" w:left="5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firstLine="720" w:left="5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firstLine="720" w:left="5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firstLine="720" w:left="5"/>
        <w:jc w:val="righ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hd w:val="clear" w:color="auto" w:fill="FFFFFF"/>
        <w:tabs>
          <w:tab w:val="clear" w:pos="720"/>
          <w:tab w:val="left" w:pos="1142" w:leader="none"/>
        </w:tabs>
        <w:spacing w:lineRule="auto" w:line="360"/>
        <w:ind w:hanging="0" w:left="5"/>
        <w:jc w:val="right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Таблица  3.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val="0000"/>
      </w:tblPr>
      <w:tblGrid>
        <w:gridCol w:w="1894"/>
        <w:gridCol w:w="2060"/>
        <w:gridCol w:w="2206"/>
        <w:gridCol w:w="1740"/>
        <w:gridCol w:w="1737"/>
      </w:tblGrid>
      <w:tr>
        <w:trPr>
          <w:tblHeader w:val="true"/>
          <w:trHeight w:val="826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74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b/>
                <w:color w:val="000000"/>
                <w:sz w:val="22"/>
                <w:szCs w:val="22"/>
              </w:rPr>
              <w:t>Наименование узла и  элемента дефектоскопа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74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b/>
                <w:color w:val="000000"/>
                <w:sz w:val="22"/>
                <w:szCs w:val="22"/>
              </w:rPr>
              <w:t>Характеристика дефицита безопасности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b/>
                <w:color w:val="000000"/>
                <w:sz w:val="22"/>
                <w:szCs w:val="22"/>
              </w:rPr>
              <w:t>Причины нарушения</w:t>
            </w:r>
          </w:p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 w:cs="Arial"/>
                <w:b/>
                <w:sz w:val="22"/>
                <w:szCs w:val="22"/>
              </w:rPr>
            </w:pPr>
            <w:r>
              <w:rPr>
                <w:rFonts w:cs="Arial" w:ascii="Liberation Serif" w:hAnsi="Liberation Serif"/>
                <w:b/>
                <w:sz w:val="22"/>
                <w:szCs w:val="22"/>
              </w:rPr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spacing w:lineRule="exact" w:line="274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b/>
                <w:color w:val="000000"/>
                <w:sz w:val="22"/>
                <w:szCs w:val="22"/>
              </w:rPr>
              <w:t>Меры по устранению дефицита безопасности</w:t>
            </w:r>
          </w:p>
          <w:p>
            <w:pPr>
              <w:pStyle w:val="Normal"/>
              <w:shd w:val="clear" w:color="auto" w:fill="FFFFFF"/>
              <w:spacing w:lineRule="exact" w:line="274"/>
              <w:jc w:val="center"/>
              <w:rPr>
                <w:rFonts w:ascii="Liberation Serif" w:hAnsi="Liberation Serif" w:cs="Arial"/>
                <w:b/>
                <w:sz w:val="22"/>
                <w:szCs w:val="22"/>
              </w:rPr>
            </w:pPr>
            <w:r>
              <w:rPr>
                <w:rFonts w:cs="Arial" w:ascii="Liberation Serif" w:hAnsi="Liberation Serif"/>
                <w:b/>
                <w:sz w:val="22"/>
                <w:szCs w:val="22"/>
              </w:rPr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b/>
                <w:color w:val="000000"/>
                <w:sz w:val="22"/>
                <w:szCs w:val="22"/>
              </w:rPr>
              <w:t>Класс</w:t>
            </w:r>
          </w:p>
          <w:p>
            <w:pPr>
              <w:pStyle w:val="Normal"/>
              <w:shd w:val="clear" w:color="auto" w:fill="FFFFFF"/>
              <w:spacing w:lineRule="exact" w:line="274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b/>
                <w:color w:val="000000"/>
                <w:sz w:val="22"/>
                <w:szCs w:val="22"/>
              </w:rPr>
              <w:t>безопасности</w:t>
            </w:r>
          </w:p>
        </w:tc>
      </w:tr>
      <w:tr>
        <w:trPr>
          <w:trHeight w:val="402" w:hRule="atLeast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Heading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b w:val="false"/>
                <w:spacing w:val="0"/>
                <w:w w:val="100"/>
                <w:sz w:val="22"/>
                <w:szCs w:val="22"/>
              </w:rPr>
              <w:t>1.1. Головка радиационная</w:t>
            </w:r>
          </w:p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Heading4"/>
              <w:rPr>
                <w:rFonts w:ascii="Liberation Serif" w:hAnsi="Liberation Serif" w:cs="Arial"/>
                <w:b w:val="false"/>
                <w:spacing w:val="0"/>
                <w:w w:val="100"/>
                <w:sz w:val="22"/>
                <w:szCs w:val="22"/>
              </w:rPr>
            </w:pPr>
            <w:r>
              <w:rPr>
                <w:rFonts w:cs="Arial" w:ascii="Liberation Serif" w:hAnsi="Liberation Serif"/>
                <w:b w:val="false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2004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1.1.1. Корпус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</w:t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  радионуклидами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радиационной головки</w:t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Дезактивация поверхности корпуса моющими средствами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spacing w:lineRule="exact" w:line="254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592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1.1.2.Блок защиты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Снижение эффективности защиты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радиационной головки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spacing w:lineRule="exact" w:line="254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9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1.1.3. Прямой канал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9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радиационной головки</w:t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радиационной головки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spacing w:lineRule="exact" w:line="250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699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1.1.4 . Табличка для нанесения маркировки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</w:t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Механическое повреждение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 наружной поверхности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таблички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таблички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3</w:t>
            </w:r>
          </w:p>
        </w:tc>
      </w:tr>
      <w:tr>
        <w:trPr>
          <w:trHeight w:val="322" w:hRule="atLeast"/>
          <w:cantSplit w:val="true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1.2.Устройство блокировочное (механизм автоматической блокировки  источника)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</w:tr>
      <w:tr>
        <w:trPr>
          <w:trHeight w:val="700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1.2.1. Корпус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или деформация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корпуса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701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1.2.2. Оси 3 шт.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или деформация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304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1.2.3. Втулка, рычаг, сухарь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или деформация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994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1.2.4. Пружины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3 шт.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Заедание возвратной пружины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994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1.2.5. Замок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Заедание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или деформация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279" w:hRule="atLeast"/>
          <w:cantSplit w:val="true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1.3. Устройство блокировочное (механизм блока контроля подключения ампулопровода)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</w:tr>
      <w:tr>
        <w:trPr>
          <w:trHeight w:val="826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1.3.1.  Корпус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или деформация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корпуса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1130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1.3.2. Ползун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Неполный ход или залипание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Повреждение возвратной пружины.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 кнопки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или деформация ползуна.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пружины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кнопки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ползуна</w:t>
            </w:r>
          </w:p>
          <w:p>
            <w:pPr>
              <w:pStyle w:val="Normal"/>
              <w:shd w:val="clear" w:color="auto" w:fill="FFFFFF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279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 xml:space="preserve"> </w:t>
            </w: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1.3.3. Кнопка, пружина возврата</w:t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Заедание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прямолинейности кнопки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Заедание возвратной пружины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или деформация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Механическое повреждение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 керосином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</w:tr>
      <w:tr>
        <w:trPr>
          <w:trHeight w:val="279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1.3.4. Кольцо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Заедание ползуна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 и промыть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414" w:hRule="atLeast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spacing w:lineRule="exact" w:line="259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1.4. Ампулопровод.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spacing w:lineRule="exact" w:line="259"/>
              <w:jc w:val="center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</w:tr>
      <w:tr>
        <w:trPr>
          <w:trHeight w:val="2694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1.4.1. Рукав металлический с пластикатным покрытием</w:t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 нарушение целостности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Превышение суммарного угла изгибов гибких шлангов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Резкие перегибы с радиусом менее 300 мм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spacing w:lineRule="exact" w:line="259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spacing w:lineRule="exact" w:line="259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С помощью ерша из тонкой проволоки очистить от грязи</w:t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Устранить лишние изгибы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Устранить перегибы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0"/>
              <w:jc w:val="both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1.4.2. Штуцер.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Механическое повреждение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штуцера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1.4.3. Муфта соединительная</w:t>
            </w:r>
          </w:p>
          <w:p>
            <w:pPr>
              <w:pStyle w:val="Normal"/>
              <w:shd w:val="clear" w:color="auto" w:fill="FFFFFF"/>
              <w:spacing w:lineRule="exact" w:line="245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 корпуса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 кнопки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Деформация пружины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ползуна фиксирующего устройства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Механическое повреждение Механический износ</w:t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корпуса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кнопки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пружины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ползуна</w:t>
            </w:r>
          </w:p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228" w:hRule="atLeast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1.5. Коллиматор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</w:tr>
      <w:tr>
        <w:trPr>
          <w:trHeight w:val="552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1.5.1. Корпус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 нарушение целостности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45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7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1.6. Пульт управления (ручной)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</w:tr>
      <w:tr>
        <w:trPr>
          <w:trHeight w:val="2122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1.6.1. Привод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Заедание троса  во время вращения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 шестеренок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Повреждение троса или зубчатого подающего колеса (выкрашивание, излом или изгиб зубьев)</w:t>
            </w:r>
          </w:p>
          <w:p>
            <w:pPr>
              <w:pStyle w:val="Normal"/>
              <w:shd w:val="clear" w:color="auto" w:fill="FFFFFF"/>
              <w:spacing w:lineRule="exact" w:line="245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Попадание инородного тела в зубчатое зацепление колеса с тросом</w:t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Устранить инородное тело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2</w:t>
            </w:r>
          </w:p>
        </w:tc>
      </w:tr>
      <w:tr>
        <w:trPr>
          <w:trHeight w:val="1130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1.6.2. Шланги гибкие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 нарушение целостности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Превышение суммарного угла изгибов гибких шлангов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Резкие перегибы с радиусом менее 300 мм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Повреждение гайки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Повреждение штуцера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С помощью ерша из тонкой проволоки очистить от грязи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Устранить лишние изгибы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Устранить перегибы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гайки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штуцера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2</w:t>
            </w:r>
          </w:p>
        </w:tc>
      </w:tr>
      <w:tr>
        <w:trPr>
          <w:trHeight w:val="1565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jc w:val="both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1.6.З.Трос зубчатый</w:t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 нарушение целостности</w:t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Выработка головки наконечника зубчатого троса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spacing w:lineRule="exact" w:line="254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троса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 головки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2</w:t>
            </w:r>
          </w:p>
        </w:tc>
      </w:tr>
      <w:tr>
        <w:trPr>
          <w:trHeight w:val="1134" w:hRule="atLeast"/>
        </w:trPr>
        <w:tc>
          <w:tcPr>
            <w:tcW w:w="1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spacing w:lineRule="exact" w:line="250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1.6.4. Корпус пульта управления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2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Износ и нарушение целостности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Загрязнение</w:t>
            </w:r>
          </w:p>
        </w:tc>
        <w:tc>
          <w:tcPr>
            <w:tcW w:w="22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Нарушение правил эксплуатации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Механический износ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</w:tc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Замена</w:t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 w:cs="Arial"/>
                <w:color w:val="000000"/>
                <w:sz w:val="22"/>
                <w:szCs w:val="22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</w:r>
          </w:p>
          <w:p>
            <w:pPr>
              <w:pStyle w:val="Normal"/>
              <w:shd w:val="clear" w:color="auto" w:fill="FFFFFF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Очистить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rFonts w:ascii="Liberation Serif" w:hAnsi="Liberation Serif"/>
              </w:rPr>
            </w:pPr>
            <w:r>
              <w:rPr>
                <w:rFonts w:cs="Arial" w:ascii="Liberation Serif" w:hAnsi="Liberation Serif"/>
                <w:color w:val="000000"/>
                <w:sz w:val="22"/>
                <w:szCs w:val="22"/>
              </w:rPr>
              <w:t>3</w:t>
            </w:r>
          </w:p>
        </w:tc>
      </w:tr>
    </w:tbl>
    <w:p>
      <w:pPr>
        <w:pStyle w:val="Normal"/>
        <w:ind w:firstLine="720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5.2. Дефектоскопы должны предъявляться для обследования и проверки технического состояния комплектно, с приложением всей имеющейся конструкторской и эксплуатационной документации (паспорта или формуляры, ТО и ИЭ, и т.д.) и паспортов на источники гамма-излучения (при наличии источников в комплекте дефектоскопа).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5.3. Обследование, контроль параметров и проверка технического состояния гамма-дефектоскопов, проводятся в объеме приемо-сдаточных испытаний, соответствующем  ГОСТ 23764-79 «Гамма-дефектоскопы. Общие технические условия» с оценкой соответствия технических характеристик дефектоскопов основным данным, изложенным в технических условиях и эксплуатационной документации дефектоскопа.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Состав, виды проверок могут быть дополнены, изменены или уточнены в процессе комплексного обследования с указанием всех изменений в отчете по результатам комплексного обследования.</w:t>
      </w:r>
    </w:p>
    <w:p>
      <w:pPr>
        <w:pStyle w:val="Normal"/>
        <w:ind w:firstLine="709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09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09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sz w:val="24"/>
          <w:szCs w:val="24"/>
        </w:rPr>
        <w:t>6. Методика проведения комплексного обследования</w:t>
      </w:r>
    </w:p>
    <w:p>
      <w:pPr>
        <w:pStyle w:val="Normal"/>
        <w:ind w:firstLine="709"/>
        <w:rPr>
          <w:rFonts w:ascii="Liberation Serif" w:hAnsi="Liberation Serif" w:cs="Arial"/>
          <w:b/>
          <w:i w:val="false"/>
          <w:i w:val="false"/>
          <w:iCs w:val="false"/>
          <w:sz w:val="24"/>
          <w:szCs w:val="24"/>
        </w:rPr>
      </w:pPr>
      <w:r>
        <w:rPr>
          <w:rFonts w:cs="Arial" w:ascii="Liberation Serif" w:hAnsi="Liberation Serif"/>
          <w:b/>
          <w:i w:val="false"/>
          <w:iCs w:val="false"/>
          <w:sz w:val="24"/>
          <w:szCs w:val="24"/>
        </w:rPr>
      </w:r>
    </w:p>
    <w:p>
      <w:pPr>
        <w:pStyle w:val="Normal"/>
        <w:shd w:val="clear" w:color="auto" w:fill="FFFFFF"/>
        <w:ind w:left="709"/>
        <w:jc w:val="both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color w:val="000000"/>
          <w:sz w:val="24"/>
          <w:szCs w:val="24"/>
        </w:rPr>
        <w:t>6.1. Обследование радиационной головки.</w:t>
      </w:r>
    </w:p>
    <w:p>
      <w:pPr>
        <w:pStyle w:val="Normal"/>
        <w:shd w:val="clear" w:color="auto" w:fill="FFFFFF"/>
        <w:ind w:left="709"/>
        <w:jc w:val="both"/>
        <w:rPr>
          <w:rFonts w:ascii="Liberation Serif" w:hAnsi="Liberation Serif" w:cs="Arial"/>
          <w:b/>
          <w:i w:val="false"/>
          <w:i w:val="false"/>
          <w:iCs w:val="false"/>
          <w:color w:val="000000"/>
          <w:sz w:val="24"/>
          <w:szCs w:val="24"/>
        </w:rPr>
      </w:pPr>
      <w:r>
        <w:rPr>
          <w:rFonts w:cs="Arial" w:ascii="Liberation Serif" w:hAnsi="Liberation Serif"/>
          <w:b/>
          <w:i w:val="false"/>
          <w:iCs w:val="false"/>
          <w:color w:val="000000"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color w:val="000000"/>
          <w:sz w:val="24"/>
          <w:szCs w:val="24"/>
        </w:rPr>
        <w:t>6.1.1. Визуальный осмотр.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При визуальном осмотре радиационной головки проверяется:</w:t>
      </w:r>
    </w:p>
    <w:p>
      <w:pPr>
        <w:pStyle w:val="ListParagraph"/>
        <w:numPr>
          <w:ilvl w:val="0"/>
          <w:numId w:val="7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отсутствие механических повреждений;</w:t>
      </w:r>
    </w:p>
    <w:p>
      <w:pPr>
        <w:pStyle w:val="ListParagraph"/>
        <w:numPr>
          <w:ilvl w:val="0"/>
          <w:numId w:val="7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нарушение лакокрасочных покрытий;</w:t>
      </w:r>
    </w:p>
    <w:p>
      <w:pPr>
        <w:pStyle w:val="ListParagraph"/>
        <w:numPr>
          <w:ilvl w:val="0"/>
          <w:numId w:val="7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наличие следов коррозии на поверхности радиационной головки и соединительных элементах;</w:t>
      </w:r>
    </w:p>
    <w:p>
      <w:pPr>
        <w:pStyle w:val="ListParagraph"/>
        <w:numPr>
          <w:ilvl w:val="0"/>
          <w:numId w:val="7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наличие и крепление таблички, на которой должны быть нанесены сведения согласно ГОСТ 23764-79. В случае отсутствия таблички или ее механического износа производится замена поврежденной таблички на новую.</w:t>
      </w:r>
    </w:p>
    <w:p>
      <w:pPr>
        <w:pStyle w:val="ListParagraph"/>
        <w:shd w:val="clear" w:color="auto" w:fill="FFFFFF"/>
        <w:jc w:val="both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</w:r>
    </w:p>
    <w:p>
      <w:pPr>
        <w:pStyle w:val="ListParagraph"/>
        <w:shd w:val="clear" w:color="auto" w:fill="FFFFFF"/>
        <w:jc w:val="both"/>
        <w:rPr>
          <w:rFonts w:cs="Arial"/>
          <w:color w:val="000000"/>
          <w:sz w:val="24"/>
          <w:szCs w:val="24"/>
        </w:rPr>
      </w:pPr>
      <w:r>
        <w:rPr>
          <w:rFonts w:cs="Arial"/>
          <w:color w:val="000000"/>
          <w:sz w:val="24"/>
          <w:szCs w:val="24"/>
        </w:rPr>
      </w:r>
    </w:p>
    <w:p>
      <w:pPr>
        <w:pStyle w:val="Normal"/>
        <w:shd w:val="clear" w:color="auto" w:fill="FFFFFF"/>
        <w:spacing w:before="259" w:after="0"/>
        <w:ind w:firstLine="709"/>
        <w:rPr>
          <w:b/>
          <w:bCs/>
          <w:i w:val="false"/>
          <w:i w:val="false"/>
          <w:iCs w:val="false"/>
        </w:rPr>
      </w:pPr>
      <w:r>
        <w:rPr>
          <w:rFonts w:cs="Arial" w:ascii="Liberation Serif" w:hAnsi="Liberation Serif"/>
          <w:b/>
          <w:bCs/>
          <w:i w:val="false"/>
          <w:iCs w:val="false"/>
          <w:color w:val="000000"/>
          <w:sz w:val="24"/>
          <w:szCs w:val="24"/>
        </w:rPr>
        <w:t>6.1.2. Проверка эффективности защиты</w:t>
      </w:r>
    </w:p>
    <w:p>
      <w:pPr>
        <w:pStyle w:val="Normal"/>
        <w:shd w:val="clear" w:color="auto" w:fill="FFFFFF"/>
        <w:ind w:firstLine="709" w:right="2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6.1.2.1. Проверка эффективности защиты радиационной головки проводится в следующем порядке:</w:t>
      </w:r>
    </w:p>
    <w:p>
      <w:pPr>
        <w:pStyle w:val="Normal"/>
        <w:shd w:val="clear" w:color="auto" w:fill="FFFFFF"/>
        <w:ind w:firstLine="709" w:right="34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а) дозиметрическим прибором проводят обследование всей поверхности радиационной головки с целью выявления направлений с наибольшей мощностью дозы;</w:t>
      </w:r>
    </w:p>
    <w:p>
      <w:pPr>
        <w:pStyle w:val="Normal"/>
        <w:shd w:val="clear" w:color="auto" w:fill="FFFFFF"/>
        <w:ind w:firstLine="709" w:right="2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б) в выявленных направлениях и в направлении, перпендикулярном оси канала радиационной головки, осуществляют измерение мощности эквивалентной дозы на поверхности и на расстоянии 1 м от поверхности радиационной головки;</w:t>
      </w:r>
    </w:p>
    <w:p>
      <w:pPr>
        <w:pStyle w:val="Normal"/>
        <w:shd w:val="clear" w:color="auto" w:fill="FFFFFF"/>
        <w:ind w:firstLine="709" w:right="38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в) если при проверках использовался источник гамма-излучения с мощностью эквивалентной дозы (МЭД) на момент измерения меньшей максимально допустимой для данного типа дефектоскопа (Мдоп.), вычисляется приведенная мощность эквивалентной дозы Рпр по формуле:</w:t>
      </w:r>
    </w:p>
    <w:p>
      <w:pPr>
        <w:pStyle w:val="Normal"/>
        <w:shd w:val="clear" w:color="auto" w:fill="FFFFFF"/>
        <w:spacing w:lineRule="auto" w:line="480"/>
        <w:ind w:firstLine="709" w:right="-57"/>
        <w:jc w:val="left"/>
        <w:rPr>
          <w:rFonts w:ascii="Liberation Serif" w:hAnsi="Liberation Serif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Р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пр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.</m:t>
              </m:r>
            </m:sub>
          </m:sSub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Р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изм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.</m:t>
              </m:r>
            </m:sub>
          </m:sSub>
          <m:r>
            <w:rPr>
              <w:rFonts w:ascii="Cambria Math" w:hAnsi="Cambria Math"/>
            </w:rPr>
            <m:t xml:space="preserve">⋅</m:t>
          </m:r>
          <m:d>
            <m:dPr>
              <m:begChr m:val="("/>
              <m:endChr m:val=")"/>
            </m:dPr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М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доп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.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М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пасп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.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⋅</m:t>
          </m:r>
          <m:sSup>
            <m:e>
              <m:r>
                <w:rPr>
                  <w:rFonts w:ascii="Cambria Math" w:hAnsi="Cambria Math"/>
                </w:rPr>
                <m:t xml:space="preserve">2</m:t>
              </m:r>
            </m:e>
            <m:sup>
              <m:f>
                <m:num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b>
                      <m:f>
                        <m:fPr>
                          <m:type m:val="lin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den>
                      </m:f>
                    </m:sub>
                  </m:sSub>
                </m:den>
              </m:f>
            </m:sup>
          </m:sSup>
        </m:oMath>
      </m:oMathPara>
    </w:p>
    <w:p>
      <w:pPr>
        <w:pStyle w:val="Normal"/>
        <w:shd w:val="clear" w:color="auto" w:fill="FFFFFF"/>
        <w:spacing w:before="19" w:after="0"/>
        <w:ind w:firstLine="709" w:right="38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где: Р</w:t>
      </w:r>
      <w:r>
        <w:rPr>
          <w:rFonts w:cs="Arial" w:ascii="Liberation Serif" w:hAnsi="Liberation Serif"/>
          <w:color w:val="000000"/>
          <w:sz w:val="24"/>
          <w:szCs w:val="24"/>
          <w:vertAlign w:val="subscript"/>
        </w:rPr>
        <w:t xml:space="preserve">изм </w:t>
      </w:r>
      <w:r>
        <w:rPr>
          <w:rFonts w:cs="Arial" w:ascii="Liberation Serif" w:hAnsi="Liberation Serif"/>
          <w:color w:val="000000"/>
          <w:sz w:val="24"/>
          <w:szCs w:val="24"/>
        </w:rPr>
        <w:t>- измеренное значение мощности эквивалентной дозы;</w:t>
      </w:r>
    </w:p>
    <w:p>
      <w:pPr>
        <w:pStyle w:val="Normal"/>
        <w:shd w:val="clear" w:color="auto" w:fill="FFFFFF"/>
        <w:spacing w:before="19" w:after="0"/>
        <w:ind w:firstLine="709" w:right="38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(Мпасп.) – МЭД источника на момент паспортизации;</w:t>
      </w:r>
    </w:p>
    <w:p>
      <w:pPr>
        <w:pStyle w:val="Normal"/>
        <w:shd w:val="clear" w:color="auto" w:fill="FFFFFF"/>
        <w:tabs>
          <w:tab w:val="clear" w:pos="720"/>
          <w:tab w:val="left" w:pos="1949" w:leader="none"/>
        </w:tabs>
        <w:ind w:firstLine="709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  <w:lang w:val="en-US"/>
        </w:rPr>
        <w:t>t</w:t>
      </w:r>
      <w:r>
        <w:rPr>
          <w:rFonts w:cs="Arial" w:ascii="Liberation Serif" w:hAnsi="Liberation Serif"/>
          <w:color w:val="000000"/>
          <w:sz w:val="24"/>
          <w:szCs w:val="24"/>
        </w:rPr>
        <w:t xml:space="preserve">  - время с момента паспортизации источника до момента проверки;</w:t>
      </w:r>
    </w:p>
    <w:p>
      <w:pPr>
        <w:pStyle w:val="Normal"/>
        <w:shd w:val="clear" w:color="auto" w:fill="FFFFFF"/>
        <w:tabs>
          <w:tab w:val="clear" w:pos="720"/>
          <w:tab w:val="left" w:pos="1949" w:leader="none"/>
        </w:tabs>
        <w:ind w:firstLine="709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Т</w:t>
      </w:r>
      <w:r>
        <w:rPr>
          <w:rFonts w:cs="Arial" w:ascii="Liberation Serif" w:hAnsi="Liberation Serif"/>
          <w:i/>
          <w:iCs/>
          <w:color w:val="000000"/>
          <w:sz w:val="24"/>
          <w:szCs w:val="24"/>
          <w:vertAlign w:val="subscript"/>
        </w:rPr>
        <w:t>1/2</w:t>
      </w:r>
      <w:r>
        <w:rPr>
          <w:rFonts w:cs="Arial" w:ascii="Liberation Serif" w:hAnsi="Liberation Serif"/>
          <w:i/>
          <w:iCs/>
          <w:color w:val="000000"/>
          <w:sz w:val="24"/>
          <w:szCs w:val="24"/>
        </w:rPr>
        <w:t xml:space="preserve">  - </w:t>
      </w:r>
      <w:r>
        <w:rPr>
          <w:rFonts w:cs="Arial" w:ascii="Liberation Serif" w:hAnsi="Liberation Serif"/>
          <w:color w:val="000000"/>
          <w:sz w:val="24"/>
          <w:szCs w:val="24"/>
        </w:rPr>
        <w:t>период полураспада изотопа.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Результаты проверки считаются удовлетворительными, если максимальные измеренные (приведенные) значения мощности эквивалентной дозы не превышают 2 мЗв/ч (200 мбэр/ч) на поверхности и 0,1 мЗв/ч (10 мбэр/ч) на расстоянии 1 м от поверхности радиационной головки  дефектоскопа;</w:t>
      </w:r>
    </w:p>
    <w:p>
      <w:pPr>
        <w:pStyle w:val="Normal"/>
        <w:shd w:val="clear" w:color="auto" w:fill="FFFFFF"/>
        <w:spacing w:before="5" w:after="0"/>
        <w:ind w:firstLine="709"/>
        <w:jc w:val="both"/>
        <w:rPr>
          <w:rFonts w:ascii="Liberation Serif" w:hAnsi="Liberation Serif" w:cs="Arial"/>
          <w:color w:val="000000"/>
          <w:sz w:val="24"/>
          <w:szCs w:val="24"/>
        </w:rPr>
      </w:pPr>
      <w:r>
        <w:rPr>
          <w:rFonts w:cs="Arial" w:ascii="Liberation Serif" w:hAnsi="Liberation Serif"/>
          <w:color w:val="000000"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color w:val="000000"/>
          <w:sz w:val="24"/>
          <w:szCs w:val="24"/>
        </w:rPr>
        <w:t>6.1.3.  Обследование радиационной головки (Рисунок 1).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 w:cs="Arial"/>
          <w:b/>
          <w:i/>
          <w:i/>
          <w:color w:val="000000"/>
          <w:sz w:val="24"/>
          <w:szCs w:val="24"/>
        </w:rPr>
      </w:pPr>
      <w:r>
        <w:rPr>
          <w:rFonts w:cs="Arial" w:ascii="Liberation Serif" w:hAnsi="Liberation Serif"/>
          <w:b/>
          <w:i/>
          <w:color w:val="000000"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6.1.3.1. В том случае, если дефектоскоп представлен на проверку вместе с источником ионизирующего излучения, необходимо перед началом разборки радиационной головки перегрузить источник излучения в перезарядный контейнер (Рисунок 5).</w:t>
      </w:r>
    </w:p>
    <w:p>
      <w:pPr>
        <w:pStyle w:val="Normal"/>
        <w:shd w:val="clear" w:color="auto" w:fill="FFFFFF"/>
        <w:ind w:firstLine="709" w:right="5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6.1.3.2. При помощи дозиметра убедиться в том, что источник в радиационной головке отсутствует.</w:t>
      </w:r>
    </w:p>
    <w:p>
      <w:pPr>
        <w:pStyle w:val="Normal"/>
        <w:shd w:val="clear" w:color="auto" w:fill="FFFFFF"/>
        <w:ind w:firstLine="709" w:right="6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6.1.3.3. Проверить поверхность радиационной головки на отсутствие нефиксированного загрязнения радиоактивными веществами методом мазков, который основан на определении активности радиоактивных веществ, снятых тампоном из марли или ваты, предварительно увлажненным 1÷1,5г 7÷10% раствором азотной кислоты после последовательного протирания радиационной головки в двух взаимно перпендикулярных направлениях.</w:t>
      </w:r>
    </w:p>
    <w:p>
      <w:pPr>
        <w:pStyle w:val="Normal"/>
        <w:shd w:val="clear" w:color="auto" w:fill="FFFFFF"/>
        <w:ind w:firstLine="709" w:right="14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Результаты проверки считаются удовлетворительными, если снимаемое (нефиксированное) радиоактивное загрязнение отсутствует, а неснимаемое (фиксированное) радиоактивное загрязнение не превышает установленных ОСПОРБ-99/2010 или НП-053-16 значений.</w:t>
      </w:r>
    </w:p>
    <w:p>
      <w:pPr>
        <w:pStyle w:val="Normal"/>
        <w:shd w:val="clear" w:color="auto" w:fill="FFFFFF"/>
        <w:ind w:firstLine="709" w:right="2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Если в результате проверки обнаружено снимаемое радиоактивное загрязнение - дефектоскоп должен быть направлен на дезактивацию загрязнённых поверхностей.</w:t>
      </w:r>
    </w:p>
    <w:p>
      <w:pPr>
        <w:pStyle w:val="Normal"/>
        <w:shd w:val="clear" w:color="auto" w:fill="FFFFFF"/>
        <w:ind w:firstLine="709" w:right="29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i w:val="false"/>
          <w:i w:val="false"/>
          <w:iCs w:val="false"/>
        </w:rPr>
      </w:pPr>
      <w:r>
        <w:rPr>
          <w:rFonts w:cs="Arial" w:ascii="Liberation Serif" w:hAnsi="Liberation Serif"/>
          <w:b/>
          <w:i w:val="false"/>
          <w:iCs w:val="false"/>
          <w:color w:val="000000"/>
          <w:sz w:val="24"/>
          <w:szCs w:val="24"/>
        </w:rPr>
        <w:t>6.2. Обследование ампулопроводов (Рисунок 2).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 w:cs="Arial"/>
          <w:color w:val="000000"/>
          <w:sz w:val="24"/>
          <w:szCs w:val="24"/>
        </w:rPr>
      </w:pPr>
      <w:r>
        <w:rPr>
          <w:rFonts w:cs="Arial" w:ascii="Liberation Serif" w:hAnsi="Liberation Serif"/>
          <w:color w:val="000000"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Проверить:</w:t>
      </w:r>
    </w:p>
    <w:p>
      <w:pPr>
        <w:pStyle w:val="ListParagraph"/>
        <w:numPr>
          <w:ilvl w:val="0"/>
          <w:numId w:val="8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целостность ампулопроводов;</w:t>
      </w:r>
    </w:p>
    <w:p>
      <w:pPr>
        <w:pStyle w:val="ListParagraph"/>
        <w:numPr>
          <w:ilvl w:val="0"/>
          <w:numId w:val="8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состояние крепления соединительных муфт на гибких рукавах (ампулопроводах).</w:t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Результаты проверки считаются удовлетворительными, если:</w:t>
      </w:r>
    </w:p>
    <w:p>
      <w:pPr>
        <w:pStyle w:val="ListParagraph"/>
        <w:numPr>
          <w:ilvl w:val="0"/>
          <w:numId w:val="9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отсутствуют резкие перегибы, оголение основы ампулопроводов и их растяжение;</w:t>
      </w:r>
    </w:p>
    <w:p>
      <w:pPr>
        <w:pStyle w:val="ListParagraph"/>
        <w:numPr>
          <w:ilvl w:val="0"/>
          <w:numId w:val="9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отсутствуют следы коррозии соединительных элементов ампулопроводов.</w:t>
      </w:r>
    </w:p>
    <w:p>
      <w:pPr>
        <w:pStyle w:val="Normal"/>
        <w:ind w:firstLine="709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b/>
          <w:i/>
          <w:color w:val="000000"/>
          <w:sz w:val="24"/>
          <w:szCs w:val="24"/>
        </w:rPr>
        <w:t xml:space="preserve">6.3. Обследование коллиматора 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 w:cs="Arial"/>
          <w:color w:val="000000"/>
          <w:sz w:val="24"/>
          <w:szCs w:val="24"/>
        </w:rPr>
      </w:pPr>
      <w:r>
        <w:rPr>
          <w:rFonts w:cs="Arial" w:ascii="Liberation Serif" w:hAnsi="Liberation Serif"/>
          <w:color w:val="000000"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Провести разборку коллиматора и провести внешний осмотр.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Результаты проверки считаются удовлетворительными, если:</w:t>
      </w:r>
    </w:p>
    <w:p>
      <w:pPr>
        <w:pStyle w:val="ListParagraph"/>
        <w:numPr>
          <w:ilvl w:val="0"/>
          <w:numId w:val="10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на корпусе и составных частях коллиматора отсутствуют трещины, задиры, следы коррозии;</w:t>
      </w:r>
    </w:p>
    <w:p>
      <w:pPr>
        <w:pStyle w:val="ListParagraph"/>
        <w:numPr>
          <w:ilvl w:val="0"/>
          <w:numId w:val="10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имеется надёжное  соединение с ампулопроводом и радиационной головкой.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 w:cs="Arial"/>
          <w:color w:val="000000"/>
          <w:sz w:val="24"/>
          <w:szCs w:val="24"/>
        </w:rPr>
      </w:pPr>
      <w:r>
        <w:rPr>
          <w:rFonts w:cs="Arial" w:ascii="Liberation Serif" w:hAnsi="Liberation Serif"/>
          <w:color w:val="000000"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b/>
          <w:i/>
          <w:color w:val="000000"/>
          <w:sz w:val="24"/>
          <w:szCs w:val="24"/>
        </w:rPr>
        <w:t>6.4. Обследование пульта управления (Рисунок 3).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 w:cs="Arial"/>
          <w:b/>
          <w:i/>
          <w:i/>
          <w:color w:val="000000"/>
          <w:sz w:val="24"/>
          <w:szCs w:val="24"/>
        </w:rPr>
      </w:pPr>
      <w:r>
        <w:rPr>
          <w:rFonts w:cs="Arial" w:ascii="Liberation Serif" w:hAnsi="Liberation Serif"/>
          <w:b/>
          <w:i/>
          <w:color w:val="000000"/>
          <w:sz w:val="24"/>
          <w:szCs w:val="24"/>
        </w:rPr>
      </w:r>
    </w:p>
    <w:p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провести разборку корпуса пульта управления;</w:t>
      </w:r>
    </w:p>
    <w:p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извлечь зубчатый трос из гибких шлангов;</w:t>
      </w:r>
    </w:p>
    <w:p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проверить отсутствие выкрашивания, излома или изгиба зубьев зубчатого колеса;</w:t>
      </w:r>
    </w:p>
    <w:p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проверить отсутствие резких перегибов, оголения основы шлангов и их растяжений.</w:t>
      </w:r>
    </w:p>
    <w:p>
      <w:pPr>
        <w:pStyle w:val="ListParagraph"/>
        <w:numPr>
          <w:ilvl w:val="0"/>
          <w:numId w:val="11"/>
        </w:numPr>
        <w:shd w:val="clear" w:color="auto" w:fill="FFFFFF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проверить отсутствие резких перегибов, порванных нитей троса, растяжения внешней навивки троса,  механического износа наконечника зубчатого троса.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 w:cs="Arial"/>
          <w:color w:val="000000"/>
          <w:sz w:val="24"/>
          <w:szCs w:val="24"/>
        </w:rPr>
      </w:pPr>
      <w:r>
        <w:rPr>
          <w:rFonts w:cs="Arial" w:ascii="Liberation Serif" w:hAnsi="Liberation Serif"/>
          <w:color w:val="000000"/>
          <w:sz w:val="24"/>
          <w:szCs w:val="24"/>
        </w:rPr>
      </w:r>
    </w:p>
    <w:p>
      <w:pPr>
        <w:pStyle w:val="Normal"/>
        <w:shd w:val="clear" w:color="auto" w:fill="FFFFFF"/>
        <w:ind w:firstLine="709" w:right="96"/>
        <w:rPr>
          <w:rFonts w:ascii="Liberation Serif" w:hAnsi="Liberation Serif"/>
        </w:rPr>
      </w:pPr>
      <w:r>
        <w:rPr>
          <w:rFonts w:cs="Arial" w:ascii="Liberation Serif" w:hAnsi="Liberation Serif"/>
          <w:b/>
          <w:i/>
          <w:color w:val="000000"/>
          <w:sz w:val="24"/>
          <w:szCs w:val="24"/>
        </w:rPr>
        <w:t>6.5. Проверка работоспособности блокирующих устройств.</w:t>
      </w:r>
    </w:p>
    <w:p>
      <w:pPr>
        <w:pStyle w:val="Normal"/>
        <w:shd w:val="clear" w:color="auto" w:fill="FFFFFF"/>
        <w:ind w:firstLine="709" w:right="96"/>
        <w:rPr>
          <w:rFonts w:ascii="Liberation Serif" w:hAnsi="Liberation Serif" w:cs="Arial"/>
          <w:b/>
          <w:i/>
          <w:i/>
          <w:sz w:val="24"/>
          <w:szCs w:val="24"/>
        </w:rPr>
      </w:pPr>
      <w:r>
        <w:rPr>
          <w:rFonts w:cs="Arial" w:ascii="Liberation Serif" w:hAnsi="Liberation Serif"/>
          <w:b/>
          <w:i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6.5.1. Собрать в единую систему радиационную головку, подсоединив коллиматор и ампулопровод к блокирующему устройству радиационной головки, а трос зубчатый к хвостовику держателя источника. Подсоединить рабочую ветвь соединительного шланга пульта управления к радиационной головке со стороны замка. Проверить прочность соединения шлангов. Результаты проверки считаются удовлетворительными, если соединительные муфты прочно удерживают стыкуемые элементы.</w:t>
      </w:r>
    </w:p>
    <w:p>
      <w:pPr>
        <w:pStyle w:val="Normal"/>
        <w:shd w:val="clear" w:color="auto" w:fill="FFFFFF"/>
        <w:ind w:firstLine="709" w:right="10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6.5.2. Вставить ключ, открыть замок и, не поднимая рычага блокировки одного цикла, попытаться выдвинуть имитатор источника из положения хранения. Имитатор источника должен оставаться в положении хранения.</w:t>
      </w:r>
    </w:p>
    <w:p>
      <w:pPr>
        <w:pStyle w:val="Normal"/>
        <w:shd w:val="clear" w:color="auto" w:fill="FFFFFF"/>
        <w:ind w:firstLine="709" w:right="24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6.5.3. Закрыть замок и попытаться выдвинуть имитатор источника. Имитатор источника должен оставаться в положении хранения.</w:t>
      </w:r>
    </w:p>
    <w:p>
      <w:pPr>
        <w:pStyle w:val="Normal"/>
        <w:shd w:val="clear" w:color="auto" w:fill="FFFFFF"/>
        <w:ind w:firstLine="709" w:right="24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shd w:val="clear" w:color="auto" w:fill="FFFFFF"/>
        <w:ind w:firstLine="709"/>
        <w:rPr>
          <w:rFonts w:ascii="Liberation Serif" w:hAnsi="Liberation Serif"/>
        </w:rPr>
      </w:pPr>
      <w:r>
        <w:rPr>
          <w:rFonts w:cs="Arial" w:ascii="Liberation Serif" w:hAnsi="Liberation Serif"/>
          <w:b/>
          <w:i/>
          <w:color w:val="000000"/>
          <w:sz w:val="24"/>
          <w:szCs w:val="24"/>
        </w:rPr>
        <w:t>6.6. Проверка работоспособности дефектоскопа.</w:t>
      </w:r>
    </w:p>
    <w:p>
      <w:pPr>
        <w:pStyle w:val="Normal"/>
        <w:shd w:val="clear" w:color="auto" w:fill="FFFFFF"/>
        <w:ind w:firstLine="709"/>
        <w:rPr>
          <w:rFonts w:ascii="Liberation Serif" w:hAnsi="Liberation Serif" w:cs="Arial"/>
          <w:b/>
          <w:i/>
          <w:i/>
          <w:color w:val="000000"/>
          <w:sz w:val="24"/>
          <w:szCs w:val="24"/>
        </w:rPr>
      </w:pPr>
      <w:r>
        <w:rPr>
          <w:rFonts w:cs="Arial" w:ascii="Liberation Serif" w:hAnsi="Liberation Serif"/>
          <w:b/>
          <w:i/>
          <w:color w:val="000000"/>
          <w:sz w:val="24"/>
          <w:szCs w:val="24"/>
        </w:rPr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6.6.1. Проверка работоспособности дефектоскопа проводится путем проведения 4÷5 рабочих циклов по методике, изложенной в ТУ или ТО и ИЭ на гамма-дефектоскоп.</w:t>
      </w:r>
    </w:p>
    <w:p>
      <w:pPr>
        <w:pStyle w:val="Normal"/>
        <w:shd w:val="clear" w:color="auto" w:fill="FFFFFF"/>
        <w:ind w:firstLine="709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Результаты проверки считаются удовлетворительными, если:</w:t>
      </w:r>
    </w:p>
    <w:p>
      <w:pPr>
        <w:pStyle w:val="ListParagraph"/>
        <w:numPr>
          <w:ilvl w:val="0"/>
          <w:numId w:val="15"/>
        </w:numPr>
        <w:shd w:val="clear" w:color="auto" w:fill="FFFFFF"/>
        <w:ind w:hanging="360" w:left="1429" w:right="2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соединение частей дефектоскопа, открытие замка и перемещение держателя источника по ампулопроводу осуществляются без заеданий;</w:t>
      </w:r>
    </w:p>
    <w:p>
      <w:pPr>
        <w:pStyle w:val="ListParagraph"/>
        <w:numPr>
          <w:ilvl w:val="0"/>
          <w:numId w:val="15"/>
        </w:numPr>
        <w:shd w:val="clear" w:color="auto" w:fill="FFFFFF"/>
        <w:ind w:hanging="360" w:left="1429" w:right="34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гибкий вал надежно фиксируется в радиационной головке при присоединении и отсоединении зубчатого троса;</w:t>
      </w:r>
    </w:p>
    <w:p>
      <w:pPr>
        <w:pStyle w:val="ListParagraph"/>
        <w:numPr>
          <w:ilvl w:val="0"/>
          <w:numId w:val="15"/>
        </w:numPr>
        <w:shd w:val="clear" w:color="auto" w:fill="FFFFFF"/>
        <w:ind w:hanging="360" w:left="1429" w:right="38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счетчик пульта управления равномерно, без пропусков, изменяет показания при перемещении держателя источника по ампулопроводу.</w:t>
      </w:r>
    </w:p>
    <w:p>
      <w:pPr>
        <w:pStyle w:val="Normal"/>
        <w:shd w:val="clear" w:color="auto" w:fill="FFFFFF"/>
        <w:ind w:firstLine="709" w:right="43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6.6.2. Проверка усилия на рукоятке привода ручного управления осуществляется в составе системы, состоящей из пульта управления, радиационной головки, ампулопровода (рукава гибкого) и коллиматора. Проверка усилия проводится с помощью динамометра.</w:t>
      </w:r>
    </w:p>
    <w:p>
      <w:pPr>
        <w:pStyle w:val="Normal"/>
        <w:shd w:val="clear" w:color="auto" w:fill="FFFFFF"/>
        <w:ind w:firstLine="709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Испытания проводятся:</w:t>
      </w:r>
    </w:p>
    <w:p>
      <w:pPr>
        <w:pStyle w:val="ListParagraph"/>
        <w:numPr>
          <w:ilvl w:val="0"/>
          <w:numId w:val="16"/>
        </w:numPr>
        <w:shd w:val="clear" w:color="auto" w:fill="FFFFFF"/>
        <w:ind w:hanging="360" w:left="1429" w:right="43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при вертикальном положении гибкого ампулопровода с суммарным углом изгиба соединительного шланга и ампулопровода 180°;</w:t>
      </w:r>
    </w:p>
    <w:p>
      <w:pPr>
        <w:pStyle w:val="ListParagraph"/>
        <w:numPr>
          <w:ilvl w:val="0"/>
          <w:numId w:val="16"/>
        </w:numPr>
        <w:shd w:val="clear" w:color="auto" w:fill="FFFFFF"/>
        <w:ind w:hanging="360" w:left="1429" w:right="53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при   горизонтальном   положении   ампулопровода   с   суммарным   углом   изгиба соединительного шланга и ампулопровода 360°.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Минимальные радиусы изгибов соединительных шлангов и гибких ампулопроводов -300 мм.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color w:val="000000"/>
          <w:sz w:val="24"/>
          <w:szCs w:val="24"/>
        </w:rPr>
        <w:t>Результаты проверки считаются удовлетворительными, если усилие на рукоятке не превышает 98 Н (10 кгс).</w:t>
      </w:r>
    </w:p>
    <w:p>
      <w:pPr>
        <w:pStyle w:val="Normal"/>
        <w:shd w:val="clear" w:color="auto" w:fill="FFFFFF"/>
        <w:ind w:firstLine="709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b/>
          <w:i/>
          <w:sz w:val="24"/>
          <w:szCs w:val="24"/>
        </w:rPr>
        <w:t>7. Оформление результатов комплексного обследования</w:t>
      </w:r>
    </w:p>
    <w:p>
      <w:pPr>
        <w:pStyle w:val="Normal"/>
        <w:ind w:firstLine="709"/>
        <w:jc w:val="both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Normal"/>
        <w:ind w:firstLine="709"/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 xml:space="preserve">7.1. По результатам комплексного обследования дефектоскопа составляется отчет. </w:t>
      </w:r>
    </w:p>
    <w:p>
      <w:pPr>
        <w:pStyle w:val="Aaoieeeieiioeoo"/>
        <w:widowControl/>
        <w:tabs>
          <w:tab w:val="clear" w:pos="4153"/>
          <w:tab w:val="clear" w:pos="8306"/>
        </w:tabs>
        <w:rPr>
          <w:rFonts w:ascii="Liberation Serif" w:hAnsi="Liberation Serif"/>
        </w:rPr>
      </w:pPr>
      <w:r>
        <w:rPr>
          <w:rFonts w:cs="Arial" w:ascii="Liberation Serif" w:hAnsi="Liberation Serif"/>
          <w:szCs w:val="24"/>
        </w:rPr>
        <w:t>7.2. Отчет должен содержать:</w:t>
      </w:r>
    </w:p>
    <w:p>
      <w:pPr>
        <w:pStyle w:val="ListParagraph"/>
        <w:numPr>
          <w:ilvl w:val="0"/>
          <w:numId w:val="17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краткое описание обследованных узлов и элементов;</w:t>
      </w:r>
    </w:p>
    <w:p>
      <w:pPr>
        <w:pStyle w:val="ListParagraph"/>
        <w:numPr>
          <w:ilvl w:val="0"/>
          <w:numId w:val="17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перечень рассмотренных документов;</w:t>
      </w:r>
    </w:p>
    <w:p>
      <w:pPr>
        <w:pStyle w:val="ListParagraph"/>
        <w:numPr>
          <w:ilvl w:val="0"/>
          <w:numId w:val="17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объем и результаты проведенных в процессе обследования контроля, испытаний, измерений;</w:t>
      </w:r>
    </w:p>
    <w:p>
      <w:pPr>
        <w:pStyle w:val="ListParagraph"/>
        <w:numPr>
          <w:ilvl w:val="0"/>
          <w:numId w:val="17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выводы о фактическом состоянии узлов и элементов по результатам контроля, испытаний, измерений, установленные в процессе обследования;</w:t>
      </w:r>
    </w:p>
    <w:p>
      <w:pPr>
        <w:pStyle w:val="ListParagraph"/>
        <w:numPr>
          <w:ilvl w:val="0"/>
          <w:numId w:val="17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выводы о результатах оценки остаточного ресурса узлов и элементов;</w:t>
      </w:r>
    </w:p>
    <w:p>
      <w:pPr>
        <w:pStyle w:val="ListParagraph"/>
        <w:numPr>
          <w:ilvl w:val="0"/>
          <w:numId w:val="17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заключение о состоянии узлов и элементов, а также рекомендации по реализации мер, необходимых для обеспечения  их работоспособности и надежности;</w:t>
      </w:r>
    </w:p>
    <w:p>
      <w:pPr>
        <w:pStyle w:val="ListParagraph"/>
        <w:numPr>
          <w:ilvl w:val="0"/>
          <w:numId w:val="17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выявленные дефициты безопасности и предлагаемые компенсирующие меры;</w:t>
      </w:r>
    </w:p>
    <w:p>
      <w:pPr>
        <w:pStyle w:val="ListParagraph"/>
        <w:numPr>
          <w:ilvl w:val="0"/>
          <w:numId w:val="17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предложения по разработке и содержанию программы подготовки дефектоскопа к продлению срока эксплуатации;</w:t>
      </w:r>
    </w:p>
    <w:p>
      <w:pPr>
        <w:pStyle w:val="ListParagraph"/>
        <w:numPr>
          <w:ilvl w:val="0"/>
          <w:numId w:val="17"/>
        </w:numPr>
        <w:jc w:val="both"/>
        <w:rPr>
          <w:rFonts w:ascii="Liberation Serif" w:hAnsi="Liberation Serif"/>
        </w:rPr>
      </w:pPr>
      <w:r>
        <w:rPr>
          <w:rFonts w:cs="Arial" w:ascii="Liberation Serif" w:hAnsi="Liberation Serif"/>
          <w:sz w:val="24"/>
          <w:szCs w:val="24"/>
        </w:rPr>
        <w:t>предложения по разработке и содержанию программы управления ресурсом элементов, важных для безопасности.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  <w:sz w:val="24"/>
        </w:rPr>
        <w:t xml:space="preserve">7.3. Отчёт по результатам комплексного обследования дефектоскопов должен быть утвержден руководителем </w:t>
      </w:r>
      <w:r>
        <w:rPr>
          <w:rFonts w:cs="Arial" w:ascii="Liberation Serif" w:hAnsi="Liberation Serif"/>
          <w:sz w:val="24"/>
          <w:szCs w:val="24"/>
        </w:rPr>
        <w:t>предприятия</w:t>
      </w:r>
      <w:r>
        <w:rPr>
          <w:rFonts w:ascii="Liberation Serif" w:hAnsi="Liberation Serif"/>
          <w:sz w:val="24"/>
        </w:rPr>
        <w:t>.</w:t>
      </w:r>
    </w:p>
    <w:p>
      <w:pPr>
        <w:pStyle w:val="Normal"/>
        <w:ind w:firstLine="720"/>
        <w:jc w:val="both"/>
        <w:rPr>
          <w:sz w:val="24"/>
        </w:rPr>
      </w:pPr>
      <w:r>
        <w:rPr>
          <w:sz w:val="24"/>
        </w:rPr>
      </w:r>
    </w:p>
    <w:p>
      <w:pPr>
        <w:pStyle w:val="Normal"/>
        <w:ind w:firstLine="720"/>
        <w:jc w:val="both"/>
        <w:rPr>
          <w:sz w:val="24"/>
        </w:rPr>
      </w:pPr>
      <w:r>
        <w:rPr>
          <w:sz w:val="24"/>
        </w:rPr>
      </w:r>
    </w:p>
    <w:p>
      <w:pPr>
        <w:pStyle w:val="Normal"/>
        <w:ind w:firstLine="720"/>
        <w:jc w:val="both"/>
        <w:rPr>
          <w:sz w:val="24"/>
        </w:rPr>
      </w:pPr>
      <w:r>
        <w:rPr>
          <w:sz w:val="24"/>
        </w:rPr>
      </w:r>
    </w:p>
    <w:p>
      <w:pPr>
        <w:pStyle w:val="Normal"/>
        <w:widowControl w:val="false"/>
        <w:spacing w:lineRule="auto" w:line="252"/>
        <w:ind w:firstLine="488"/>
        <w:jc w:val="both"/>
        <w:rPr>
          <w:rFonts w:ascii="Liberation Serif" w:hAnsi="Liberation Serif"/>
        </w:rPr>
      </w:pPr>
      <w:r>
        <w:rPr>
          <w:rFonts w:ascii="Liberation Serif" w:hAnsi="Liberation Serif"/>
          <w:b w:val="false"/>
          <w:bCs w:val="false"/>
          <w:sz w:val="28"/>
          <w:szCs w:val="28"/>
        </w:rPr>
        <w:t>СОГЛАСОВАНО</w:t>
        <w:tab/>
        <w:tab/>
        <w:tab/>
        <w:tab/>
        <w:t>РАЗРАБОТАНО</w:t>
      </w:r>
    </w:p>
    <w:tbl>
      <w:tblPr>
        <w:tblStyle w:val="af3"/>
        <w:tblW w:w="9639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76"/>
        <w:gridCol w:w="4962"/>
      </w:tblGrid>
      <w:tr>
        <w:trPr/>
        <w:tc>
          <w:tcPr>
            <w:tcW w:w="467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</w:r>
          </w:p>
        </w:tc>
        <w:tc>
          <w:tcPr>
            <w:tcW w:w="4962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sz w:val="20"/>
              </w:rPr>
            </w:r>
          </w:p>
        </w:tc>
      </w:tr>
      <w:tr>
        <w:trPr>
          <w:trHeight w:val="1241" w:hRule="atLeast"/>
        </w:trPr>
        <w:tc>
          <w:tcPr>
            <w:tcW w:w="4676" w:type="dxa"/>
            <w:tcBorders/>
            <w:shd w:color="auto" w:fill="auto" w:val="clear"/>
          </w:tcPr>
          <w:p>
            <w:pPr>
              <w:pStyle w:val="Heading1"/>
              <w:widowControl/>
              <w:spacing w:lineRule="auto" w:line="240" w:before="0" w:after="0"/>
              <w:ind w:hanging="0"/>
              <w:jc w:val="left"/>
              <w:rPr>
                <w:rFonts w:ascii="Liberation Serif" w:hAnsi="Liberation Serif"/>
              </w:rPr>
            </w:pPr>
            <w:r>
              <w:rPr/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BodyText2"/>
              <w:widowControl/>
              <w:tabs>
                <w:tab w:val="clear" w:pos="720"/>
                <w:tab w:val="left" w:pos="7655" w:leader="none"/>
              </w:tabs>
              <w:spacing w:before="0" w:after="0"/>
              <w:jc w:val="both"/>
              <w:rPr>
                <w:rFonts w:ascii="Liberation Serif" w:hAnsi="Liberation Serif"/>
              </w:rPr>
            </w:pPr>
            <w:r>
              <w:rPr>
                <w:rFonts w:eastAsia="Times New Roman" w:cs="Arial" w:ascii="Liberation Serif" w:hAnsi="Liberation Serif"/>
                <w:kern w:val="0"/>
                <w:sz w:val="24"/>
                <w:szCs w:val="24"/>
                <w:lang w:val="ru-RU" w:eastAsia="ru-RU" w:bidi="ar-SA"/>
              </w:rPr>
              <w:t>«_____» ___________ 2026 г.</w:t>
            </w:r>
          </w:p>
        </w:tc>
        <w:tc>
          <w:tcPr>
            <w:tcW w:w="4962" w:type="dxa"/>
            <w:tcBorders/>
            <w:shd w:color="auto" w:fill="auto" w:val="clear"/>
          </w:tcPr>
          <w:p>
            <w:pPr>
              <w:pStyle w:val="BodyText2"/>
              <w:widowControl/>
              <w:tabs>
                <w:tab w:val="clear" w:pos="720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/>
              </w:rPr>
            </w:pPr>
            <w:r>
              <w:rPr/>
            </w:r>
          </w:p>
          <w:p>
            <w:pPr>
              <w:pStyle w:val="BodyText2"/>
              <w:widowControl/>
              <w:tabs>
                <w:tab w:val="clear" w:pos="720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BodyText2"/>
              <w:widowControl/>
              <w:tabs>
                <w:tab w:val="clear" w:pos="720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  <w:t>«_____» ___________ 2026 г.</w:t>
            </w:r>
          </w:p>
          <w:p>
            <w:pPr>
              <w:pStyle w:val="BodyText2"/>
              <w:widowControl/>
              <w:tabs>
                <w:tab w:val="clear" w:pos="720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BodyText2"/>
              <w:widowControl/>
              <w:tabs>
                <w:tab w:val="clear" w:pos="720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/>
              </w:rPr>
            </w:pPr>
            <w:r>
              <w:rPr/>
            </w:r>
          </w:p>
          <w:p>
            <w:pPr>
              <w:pStyle w:val="BodyText2"/>
              <w:widowControl/>
              <w:tabs>
                <w:tab w:val="clear" w:pos="720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BodyText2"/>
              <w:widowControl/>
              <w:tabs>
                <w:tab w:val="clear" w:pos="720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  <w:t>«_____» ___________ 2026 г.</w:t>
            </w:r>
          </w:p>
        </w:tc>
      </w:tr>
      <w:tr>
        <w:trPr>
          <w:trHeight w:val="1241" w:hRule="atLeast"/>
        </w:trPr>
        <w:tc>
          <w:tcPr>
            <w:tcW w:w="467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 w:cs="Arial"/>
                <w:sz w:val="20"/>
              </w:rPr>
            </w:pPr>
            <w:r>
              <w:rPr>
                <w:rFonts w:cs="Arial" w:ascii="Liberation Serif" w:hAnsi="Liberation Serif"/>
                <w:sz w:val="20"/>
              </w:rPr>
            </w:r>
          </w:p>
        </w:tc>
        <w:tc>
          <w:tcPr>
            <w:tcW w:w="4962" w:type="dxa"/>
            <w:tcBorders/>
            <w:shd w:color="auto" w:fill="auto" w:val="clear"/>
          </w:tcPr>
          <w:p>
            <w:pPr>
              <w:pStyle w:val="BodyText2"/>
              <w:widowControl/>
              <w:tabs>
                <w:tab w:val="clear" w:pos="720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</w:tc>
      </w:tr>
      <w:tr>
        <w:trPr>
          <w:trHeight w:val="1241" w:hRule="atLeast"/>
        </w:trPr>
        <w:tc>
          <w:tcPr>
            <w:tcW w:w="467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</w:r>
          </w:p>
        </w:tc>
        <w:tc>
          <w:tcPr>
            <w:tcW w:w="4962" w:type="dxa"/>
            <w:tcBorders/>
            <w:shd w:color="auto" w:fill="auto" w:val="clear"/>
          </w:tcPr>
          <w:p>
            <w:pPr>
              <w:pStyle w:val="BodyText2"/>
              <w:widowControl/>
              <w:tabs>
                <w:tab w:val="clear" w:pos="720"/>
                <w:tab w:val="left" w:pos="2268" w:leader="none"/>
                <w:tab w:val="left" w:pos="3969" w:leader="none"/>
                <w:tab w:val="left" w:pos="4111" w:leader="none"/>
              </w:tabs>
              <w:spacing w:before="0" w:after="0"/>
              <w:jc w:val="left"/>
              <w:rPr>
                <w:rFonts w:ascii="Liberation Serif" w:hAnsi="Liberation Serif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 w:ascii="Liberation Serif" w:hAnsi="Liberation Serif"/>
                <w:kern w:val="0"/>
                <w:sz w:val="24"/>
                <w:szCs w:val="24"/>
                <w:lang w:val="ru-RU" w:eastAsia="ru-RU" w:bidi="ar-SA"/>
              </w:rPr>
            </w:r>
          </w:p>
        </w:tc>
      </w:tr>
    </w:tbl>
    <w:p>
      <w:pPr>
        <w:pStyle w:val="Normal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continuous"/>
          <w:pgSz w:w="11906" w:h="16838"/>
          <w:pgMar w:left="1418" w:right="851" w:gutter="0" w:header="720" w:top="1313" w:footer="680" w:bottom="1239"/>
          <w:formProt w:val="false"/>
          <w:titlePg/>
          <w:textDirection w:val="lrTb"/>
          <w:docGrid w:type="default" w:linePitch="312" w:charSpace="4294952959"/>
        </w:sectPr>
      </w:pPr>
    </w:p>
    <w:p>
      <w:pPr>
        <w:pStyle w:val="Normal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493395</wp:posOffset>
                </wp:positionH>
                <wp:positionV relativeFrom="paragraph">
                  <wp:posOffset>2358390</wp:posOffset>
                </wp:positionV>
                <wp:extent cx="1371600" cy="2857500"/>
                <wp:effectExtent l="0" t="0" r="0" b="0"/>
                <wp:wrapNone/>
                <wp:docPr id="3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85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Фигура2" path="m0,0l-2147483645,0l-2147483645,-2147483646l0,-2147483646xe" fillcolor="white" stroked="f" o:allowincell="f" style="position:absolute;margin-left:38.85pt;margin-top:185.7pt;width:107.95pt;height:224.95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jc w:val="both"/>
        <w:rPr>
          <w:rFonts w:cs="Arial"/>
          <w:sz w:val="24"/>
          <w:szCs w:val="24"/>
        </w:rPr>
      </w:pPr>
      <w:r>
        <w:rPr/>
        <w:drawing>
          <wp:inline distT="0" distB="0" distL="0" distR="0">
            <wp:extent cx="9251315" cy="5517515"/>
            <wp:effectExtent l="0" t="0" r="0" b="0"/>
            <wp:docPr id="4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315" cy="551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cs="Arial"/>
          <w:b/>
          <w:i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Рисунок 2.  Ампулопровод</w:t>
      </w:r>
    </w:p>
    <w:p>
      <w:pPr>
        <w:pStyle w:val="Normal"/>
        <w:jc w:val="center"/>
        <w:rPr>
          <w:rFonts w:cs="Arial"/>
          <w:b/>
          <w:i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object>
          <v:shapetype id="_x0000_tole_rId11" coordsize="21600,21600" o:spt="ole_rId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position:absolute;margin-left:86.2pt;margin-top:8.75pt;width:577.85pt;height:330.9pt;mso-wrap-distance-right:0pt;mso-position-horizontal-relative:text;mso-position-vertical-relative:text" filled="f" o:ole="">
            <v:imagedata r:id="rId12" o:title=""/>
          </v:shape>
          <o:OLEObject Type="Embed" ProgID="MSPhotoEd.3" ShapeID="ole_rId11" DrawAspect="Content" ObjectID="_1634827155" r:id="rId11"/>
        </w:objec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Рисунок 3.  Пульт управления</w:t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b/>
          <w:i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Рисунок 3. Пульт управления</w:t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/>
        <w:drawing>
          <wp:inline distT="0" distB="0" distL="0" distR="0">
            <wp:extent cx="6134735" cy="2672080"/>
            <wp:effectExtent l="0" t="0" r="0" b="0"/>
            <wp:docPr id="5" name="Рисунок 4" descr="держат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 descr="держатель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35" cy="267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tabs>
          <w:tab w:val="clear" w:pos="720"/>
          <w:tab w:val="left" w:pos="3648" w:leader="none"/>
        </w:tabs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sectPr>
          <w:headerReference w:type="even" r:id="rId14"/>
          <w:headerReference w:type="default" r:id="rId15"/>
          <w:headerReference w:type="first" r:id="rId16"/>
          <w:footerReference w:type="even" r:id="rId17"/>
          <w:footerReference w:type="default" r:id="rId18"/>
          <w:footerReference w:type="first" r:id="rId19"/>
          <w:type w:val="nextPage"/>
          <w:pgSz w:orient="landscape" w:w="16838" w:h="11906"/>
          <w:pgMar w:left="1418" w:right="851" w:gutter="0" w:header="720" w:top="777" w:footer="680" w:bottom="1239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jc w:val="center"/>
        <w:rPr>
          <w:rFonts w:cs="Arial"/>
          <w:b/>
          <w:i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Рисунок 4. Держатель источника</w:t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/>
        <w:drawing>
          <wp:inline distT="0" distB="0" distL="0" distR="0">
            <wp:extent cx="2982595" cy="4447540"/>
            <wp:effectExtent l="0" t="0" r="0" b="0"/>
            <wp:docPr id="6" name="Изображение2" descr="контейн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контейнер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595" cy="444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b/>
          <w:i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>Рисунок 5. Перезарядный контейнер.</w:t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1906" w:h="16838"/>
      <w:pgMar w:left="1418" w:right="851" w:gutter="0" w:header="720" w:top="777" w:footer="0" w:bottom="680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PT Astra Serif">
    <w:charset w:val="01"/>
    <w:family w:val="roman"/>
    <w:pitch w:val="default"/>
  </w:font>
  <w:font w:name="Courier New">
    <w:charset w:val="01"/>
    <w:family w:val="auto"/>
    <w:pitch w:val="default"/>
  </w:font>
  <w:font w:name="Tahoma">
    <w:charset w:val="01"/>
    <w:family w:val="swiss"/>
    <w:pitch w:val="default"/>
  </w:font>
  <w:font w:name="Liberation Serif">
    <w:altName w:val="Times New Roman"/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PT Astra Serif" w:hAnsi="PT Astra Serif"/>
        <w:sz w:val="24"/>
        <w:szCs w:val="24"/>
      </w:rPr>
    </w:pPr>
    <w:bookmarkStart w:id="0" w:name="PageNumWizard_FOOTER_Базовый2"/>
    <w:r>
      <w:rPr>
        <w:rFonts w:ascii="PT Astra Serif" w:hAnsi="PT Astra Serif"/>
        <w:sz w:val="24"/>
        <w:szCs w:val="24"/>
      </w:rPr>
      <w:fldChar w:fldCharType="begin"/>
    </w:r>
    <w:r>
      <w:rPr>
        <w:sz w:val="24"/>
        <w:szCs w:val="24"/>
        <w:rFonts w:ascii="PT Astra Serif" w:hAnsi="PT Astra Serif"/>
      </w:rPr>
      <w:instrText xml:space="preserve"> PAGE </w:instrText>
    </w:r>
    <w:r>
      <w:rPr>
        <w:sz w:val="24"/>
        <w:szCs w:val="24"/>
        <w:rFonts w:ascii="PT Astra Serif" w:hAnsi="PT Astra Serif"/>
      </w:rPr>
      <w:fldChar w:fldCharType="separate"/>
    </w:r>
    <w:r>
      <w:rPr>
        <w:sz w:val="24"/>
        <w:szCs w:val="24"/>
        <w:rFonts w:ascii="PT Astra Serif" w:hAnsi="PT Astra Serif"/>
      </w:rPr>
      <w:t>4</w:t>
    </w:r>
    <w:r>
      <w:rPr>
        <w:sz w:val="24"/>
        <w:szCs w:val="24"/>
        <w:rFonts w:ascii="PT Astra Serif" w:hAnsi="PT Astra Serif"/>
      </w:rPr>
      <w:fldChar w:fldCharType="end"/>
    </w:r>
    <w:bookmarkEnd w:id="0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Liberation Serif" w:hAnsi="Liberation Serif"/>
        <w:sz w:val="24"/>
        <w:szCs w:val="24"/>
      </w:rPr>
    </w:pPr>
    <w:bookmarkStart w:id="1" w:name="PageNumWizard_FOOTER_Базовый3_Копия_1"/>
    <w:bookmarkStart w:id="2" w:name="PageNumWizard_FOOTER_Базовый3"/>
    <w:r>
      <w:rPr>
        <w:rFonts w:ascii="Liberation Serif" w:hAnsi="Liberation Serif"/>
        <w:sz w:val="24"/>
        <w:szCs w:val="24"/>
      </w:rPr>
      <w:fldChar w:fldCharType="begin"/>
    </w:r>
    <w:r>
      <w:rPr>
        <w:sz w:val="24"/>
        <w:szCs w:val="24"/>
        <w:rFonts w:ascii="Liberation Serif" w:hAnsi="Liberation Serif"/>
      </w:rPr>
      <w:instrText xml:space="preserve"> PAGE </w:instrText>
    </w:r>
    <w:r>
      <w:rPr>
        <w:sz w:val="24"/>
        <w:szCs w:val="24"/>
        <w:rFonts w:ascii="Liberation Serif" w:hAnsi="Liberation Serif"/>
      </w:rPr>
      <w:fldChar w:fldCharType="separate"/>
    </w:r>
    <w:r>
      <w:rPr>
        <w:sz w:val="24"/>
        <w:szCs w:val="24"/>
        <w:rFonts w:ascii="Liberation Serif" w:hAnsi="Liberation Serif"/>
      </w:rPr>
      <w:t>3</w:t>
    </w:r>
    <w:r>
      <w:rPr>
        <w:sz w:val="24"/>
        <w:szCs w:val="24"/>
        <w:rFonts w:ascii="Liberation Serif" w:hAnsi="Liberation Serif"/>
      </w:rPr>
      <w:fldChar w:fldCharType="end"/>
    </w:r>
    <w:bookmarkEnd w:id="1"/>
    <w:bookmarkEnd w:id="2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  <w:bookmarkStart w:id="3" w:name="PageNumWizard_FOOTER_Базовый1"/>
    <w:bookmarkStart w:id="4" w:name="PageNumWizard_FOOTER_Базовый1"/>
    <w:bookmarkEnd w:id="4"/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>
        <w:rFonts w:ascii="Liberation Serif" w:hAnsi="Liberation Serif"/>
        <w:sz w:val="24"/>
        <w:szCs w:val="24"/>
      </w:rPr>
    </w:pPr>
    <w:bookmarkStart w:id="5" w:name="PageNumWizard_FOOTER_Converted116"/>
    <w:r>
      <w:rPr>
        <w:rFonts w:ascii="Liberation Serif" w:hAnsi="Liberation Serif"/>
        <w:sz w:val="24"/>
        <w:szCs w:val="24"/>
      </w:rPr>
      <w:fldChar w:fldCharType="begin"/>
    </w:r>
    <w:r>
      <w:rPr>
        <w:sz w:val="24"/>
        <w:szCs w:val="24"/>
        <w:rFonts w:ascii="Liberation Serif" w:hAnsi="Liberation Serif"/>
      </w:rPr>
      <w:instrText xml:space="preserve"> PAGE </w:instrText>
    </w:r>
    <w:r>
      <w:rPr>
        <w:sz w:val="24"/>
        <w:szCs w:val="24"/>
        <w:rFonts w:ascii="Liberation Serif" w:hAnsi="Liberation Serif"/>
      </w:rPr>
      <w:fldChar w:fldCharType="separate"/>
    </w:r>
    <w:r>
      <w:rPr>
        <w:sz w:val="24"/>
        <w:szCs w:val="24"/>
        <w:rFonts w:ascii="Liberation Serif" w:hAnsi="Liberation Serif"/>
      </w:rPr>
      <w:t>16</w:t>
    </w:r>
    <w:r>
      <w:rPr>
        <w:sz w:val="24"/>
        <w:szCs w:val="24"/>
        <w:rFonts w:ascii="Liberation Serif" w:hAnsi="Liberation Serif"/>
      </w:rPr>
      <w:fldChar w:fldCharType="end"/>
    </w:r>
    <w:bookmarkEnd w:id="5"/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Liberation Serif" w:hAnsi="Liberation Serif"/>
        <w:sz w:val="24"/>
        <w:szCs w:val="24"/>
      </w:rPr>
    </w:pPr>
    <w:bookmarkStart w:id="6" w:name="PageNumWizard_FOOTER_Converted117"/>
    <w:r>
      <w:rPr>
        <w:rFonts w:ascii="Liberation Serif" w:hAnsi="Liberation Serif"/>
        <w:sz w:val="24"/>
        <w:szCs w:val="24"/>
      </w:rPr>
      <w:fldChar w:fldCharType="begin"/>
    </w:r>
    <w:r>
      <w:rPr>
        <w:sz w:val="24"/>
        <w:szCs w:val="24"/>
        <w:rFonts w:ascii="Liberation Serif" w:hAnsi="Liberation Serif"/>
      </w:rPr>
      <w:instrText xml:space="preserve"> PAGE </w:instrText>
    </w:r>
    <w:r>
      <w:rPr>
        <w:sz w:val="24"/>
        <w:szCs w:val="24"/>
        <w:rFonts w:ascii="Liberation Serif" w:hAnsi="Liberation Serif"/>
      </w:rPr>
      <w:fldChar w:fldCharType="separate"/>
    </w:r>
    <w:r>
      <w:rPr>
        <w:sz w:val="24"/>
        <w:szCs w:val="24"/>
        <w:rFonts w:ascii="Liberation Serif" w:hAnsi="Liberation Serif"/>
      </w:rPr>
      <w:t>17</w:t>
    </w:r>
    <w:r>
      <w:rPr>
        <w:sz w:val="24"/>
        <w:szCs w:val="24"/>
        <w:rFonts w:ascii="Liberation Serif" w:hAnsi="Liberation Serif"/>
      </w:rPr>
      <w:fldChar w:fldCharType="end"/>
    </w:r>
    <w:bookmarkEnd w:id="6"/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cs="Arial"/>
        <w:b/>
        <w:i/>
        <w:i/>
        <w:sz w:val="20"/>
      </w:rPr>
    </w:pPr>
    <w:r>
      <w:rPr>
        <w:rFonts w:cs="Arial"/>
        <w:b/>
        <w:i/>
        <w:sz w:val="20"/>
      </w:rPr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cs="Arial"/>
        <w:b/>
        <w:i/>
        <w:i/>
        <w:sz w:val="20"/>
      </w:rPr>
    </w:pPr>
    <w:r>
      <w:rPr>
        <w:rFonts w:cs="Arial"/>
        <w:b/>
        <w:i/>
        <w:sz w:val="20"/>
      </w:rPr>
    </w:r>
  </w:p>
  <w:p>
    <w:pPr>
      <w:pStyle w:val="Header"/>
      <w:jc w:val="cent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cs="Arial"/>
        <w:b/>
        <w:i/>
        <w:i/>
        <w:sz w:val="20"/>
      </w:rPr>
    </w:pPr>
    <w:r>
      <w:rPr>
        <w:rFonts w:cs="Arial"/>
        <w:b/>
        <w:i/>
        <w:sz w:val="20"/>
      </w:rPr>
    </w:r>
  </w:p>
  <w:p>
    <w:pPr>
      <w:pStyle w:val="Header"/>
      <w:jc w:val="cent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cs="Arial"/>
        <w:b/>
        <w:i/>
        <w:i/>
        <w:sz w:val="20"/>
      </w:rPr>
    </w:pPr>
    <w:r>
      <w:rPr>
        <w:rFonts w:cs="Arial"/>
        <w:b/>
        <w:i/>
        <w:sz w:val="20"/>
      </w:rPr>
      <w:t>стр.</w:t>
    </w:r>
    <w:r>
      <w:rPr>
        <w:rStyle w:val="PageNumber"/>
        <w:rFonts w:cs="Arial"/>
        <w:b/>
        <w:i/>
        <w:sz w:val="20"/>
      </w:rPr>
      <w:fldChar w:fldCharType="begin"/>
    </w:r>
    <w:r>
      <w:rPr>
        <w:rStyle w:val="PageNumber"/>
        <w:sz w:val="20"/>
        <w:i/>
        <w:b/>
        <w:rFonts w:cs="Arial"/>
      </w:rPr>
      <w:instrText xml:space="preserve"> PAGE </w:instrText>
    </w:r>
    <w:r>
      <w:rPr>
        <w:rStyle w:val="PageNumber"/>
        <w:sz w:val="20"/>
        <w:i/>
        <w:b/>
        <w:rFonts w:cs="Arial"/>
      </w:rPr>
      <w:fldChar w:fldCharType="separate"/>
    </w:r>
    <w:r>
      <w:rPr>
        <w:rStyle w:val="PageNumber"/>
        <w:sz w:val="20"/>
        <w:i/>
        <w:b/>
        <w:rFonts w:cs="Arial"/>
      </w:rPr>
      <w:t>0</w:t>
    </w:r>
    <w:r>
      <w:rPr>
        <w:rStyle w:val="PageNumber"/>
        <w:sz w:val="20"/>
        <w:i/>
        <w:b/>
        <w:rFonts w:cs="Arial"/>
      </w:rPr>
      <w:fldChar w:fldCharType="end"/>
    </w:r>
    <w:r>
      <w:rPr>
        <w:rFonts w:cs="Arial"/>
        <w:b/>
        <w:i/>
        <w:sz w:val="20"/>
      </w:rPr>
      <w:t>/</w:t>
    </w:r>
    <w:r>
      <w:rPr>
        <w:rStyle w:val="PageNumber"/>
        <w:rFonts w:cs="Arial"/>
        <w:b/>
        <w:i/>
        <w:sz w:val="20"/>
      </w:rPr>
      <w:fldChar w:fldCharType="begin"/>
    </w:r>
    <w:r>
      <w:rPr>
        <w:rStyle w:val="PageNumber"/>
        <w:sz w:val="20"/>
        <w:i/>
        <w:b/>
        <w:rFonts w:cs="Arial"/>
      </w:rPr>
      <w:instrText xml:space="preserve"> NUMPAGES </w:instrText>
    </w:r>
    <w:r>
      <w:rPr>
        <w:rStyle w:val="PageNumber"/>
        <w:sz w:val="20"/>
        <w:i/>
        <w:b/>
        <w:rFonts w:cs="Arial"/>
      </w:rPr>
      <w:fldChar w:fldCharType="separate"/>
    </w:r>
    <w:r>
      <w:rPr>
        <w:rStyle w:val="PageNumber"/>
        <w:sz w:val="20"/>
        <w:i/>
        <w:b/>
        <w:rFonts w:cs="Arial"/>
      </w:rPr>
      <w:t>18</w:t>
    </w:r>
    <w:r>
      <w:rPr>
        <w:rStyle w:val="PageNumber"/>
        <w:sz w:val="20"/>
        <w:i/>
        <w:b/>
        <w:rFonts w:cs="Arial"/>
      </w:rPr>
      <w:fldChar w:fldCharType="end"/>
    </w:r>
  </w:p>
  <w:p>
    <w:pPr>
      <w:pStyle w:val="Header"/>
      <w:jc w:val="cent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cs="Arial"/>
        <w:b/>
        <w:i/>
        <w:i/>
        <w:sz w:val="20"/>
      </w:rPr>
    </w:pPr>
    <w:r>
      <w:rPr>
        <w:rFonts w:cs="Arial"/>
        <w:b/>
        <w:i/>
        <w:sz w:val="20"/>
      </w:rPr>
      <w:t>стр.</w:t>
    </w:r>
    <w:r>
      <w:rPr>
        <w:rStyle w:val="PageNumber"/>
        <w:rFonts w:cs="Arial"/>
        <w:b/>
        <w:i/>
        <w:sz w:val="20"/>
      </w:rPr>
      <w:fldChar w:fldCharType="begin"/>
    </w:r>
    <w:r>
      <w:rPr>
        <w:rStyle w:val="PageNumber"/>
        <w:sz w:val="20"/>
        <w:i/>
        <w:b/>
        <w:rFonts w:cs="Arial"/>
      </w:rPr>
      <w:instrText xml:space="preserve"> PAGE </w:instrText>
    </w:r>
    <w:r>
      <w:rPr>
        <w:rStyle w:val="PageNumber"/>
        <w:sz w:val="20"/>
        <w:i/>
        <w:b/>
        <w:rFonts w:cs="Arial"/>
      </w:rPr>
      <w:fldChar w:fldCharType="separate"/>
    </w:r>
    <w:r>
      <w:rPr>
        <w:rStyle w:val="PageNumber"/>
        <w:sz w:val="20"/>
        <w:i/>
        <w:b/>
        <w:rFonts w:cs="Arial"/>
      </w:rPr>
      <w:t>19</w:t>
    </w:r>
    <w:r>
      <w:rPr>
        <w:rStyle w:val="PageNumber"/>
        <w:sz w:val="20"/>
        <w:i/>
        <w:b/>
        <w:rFonts w:cs="Arial"/>
      </w:rPr>
      <w:fldChar w:fldCharType="end"/>
    </w:r>
    <w:r>
      <w:rPr>
        <w:rFonts w:cs="Arial"/>
        <w:b/>
        <w:i/>
        <w:sz w:val="20"/>
      </w:rPr>
      <w:t>/</w:t>
    </w:r>
    <w:r>
      <w:rPr>
        <w:rStyle w:val="PageNumber"/>
        <w:rFonts w:cs="Arial"/>
        <w:b/>
        <w:i/>
        <w:sz w:val="20"/>
      </w:rPr>
      <w:fldChar w:fldCharType="begin"/>
    </w:r>
    <w:r>
      <w:rPr>
        <w:rStyle w:val="PageNumber"/>
        <w:sz w:val="20"/>
        <w:i/>
        <w:b/>
        <w:rFonts w:cs="Arial"/>
      </w:rPr>
      <w:instrText xml:space="preserve"> NUMPAGES </w:instrText>
    </w:r>
    <w:r>
      <w:rPr>
        <w:rStyle w:val="PageNumber"/>
        <w:sz w:val="20"/>
        <w:i/>
        <w:b/>
        <w:rFonts w:cs="Arial"/>
      </w:rPr>
      <w:fldChar w:fldCharType="separate"/>
    </w:r>
    <w:r>
      <w:rPr>
        <w:rStyle w:val="PageNumber"/>
        <w:sz w:val="20"/>
        <w:i/>
        <w:b/>
        <w:rFonts w:cs="Arial"/>
      </w:rPr>
      <w:t>18</w:t>
    </w:r>
    <w:r>
      <w:rPr>
        <w:rStyle w:val="PageNumber"/>
        <w:sz w:val="20"/>
        <w:i/>
        <w:b/>
        <w:rFonts w:cs="Arial"/>
      </w:rPr>
      <w:fldChar w:fldCharType="end"/>
    </w:r>
  </w:p>
  <w:p>
    <w:pPr>
      <w:pStyle w:val="Header"/>
      <w:jc w:val="cent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hyphenationZone w:val="0"/>
  <w:evenAndOddHeaders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f83ceb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f83ceb"/>
    <w:pPr>
      <w:keepNext w:val="true"/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rsid w:val="00f83ceb"/>
    <w:pPr>
      <w:keepNext w:val="true"/>
      <w:jc w:val="center"/>
      <w:outlineLvl w:val="2"/>
    </w:pPr>
    <w:rPr>
      <w:rFonts w:ascii="Times New Roman" w:hAnsi="Times New Roman"/>
      <w:szCs w:val="24"/>
    </w:rPr>
  </w:style>
  <w:style w:type="paragraph" w:styleId="Heading4">
    <w:name w:val="heading 4"/>
    <w:basedOn w:val="Normal"/>
    <w:next w:val="Normal"/>
    <w:qFormat/>
    <w:rsid w:val="00f83ceb"/>
    <w:pPr>
      <w:keepNext w:val="true"/>
      <w:shd w:val="clear" w:color="auto" w:fill="FFFFFF"/>
      <w:spacing w:lineRule="exact" w:line="245"/>
      <w:jc w:val="center"/>
      <w:outlineLvl w:val="3"/>
    </w:pPr>
    <w:rPr>
      <w:rFonts w:ascii="Times New Roman" w:hAnsi="Times New Roman"/>
      <w:b/>
      <w:color w:val="000000"/>
      <w:spacing w:val="-3"/>
      <w:w w:val="101"/>
      <w:sz w:val="24"/>
      <w:szCs w:val="24"/>
    </w:rPr>
  </w:style>
  <w:style w:type="paragraph" w:styleId="Heading7">
    <w:name w:val="heading 7"/>
    <w:basedOn w:val="Normal"/>
    <w:next w:val="Normal"/>
    <w:qFormat/>
    <w:rsid w:val="00f83ceb"/>
    <w:pPr>
      <w:keepNext w:val="true"/>
      <w:jc w:val="center"/>
      <w:outlineLvl w:val="6"/>
    </w:pPr>
    <w:rPr>
      <w:rFonts w:ascii="Times New Roman" w:hAnsi="Times New Roman"/>
      <w:color w:val="FF0000"/>
      <w:szCs w:val="24"/>
    </w:rPr>
  </w:style>
  <w:style w:type="paragraph" w:styleId="Heading9">
    <w:name w:val="heading 9"/>
    <w:basedOn w:val="Normal"/>
    <w:next w:val="Normal"/>
    <w:link w:val="9"/>
    <w:qFormat/>
    <w:rsid w:val="00492b95"/>
    <w:pPr>
      <w:spacing w:before="240" w:after="60"/>
      <w:outlineLvl w:val="8"/>
    </w:pPr>
    <w:rPr>
      <w:rFonts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f83ceb"/>
    <w:rPr/>
  </w:style>
  <w:style w:type="character" w:styleId="Style9">
    <w:name w:val="Символ сноски"/>
    <w:semiHidden/>
    <w:qFormat/>
    <w:rsid w:val="00f83ce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9" w:customStyle="1">
    <w:name w:val="Заголовок 9 Знак"/>
    <w:basedOn w:val="DefaultParagraphFont"/>
    <w:qFormat/>
    <w:rsid w:val="00492b95"/>
    <w:rPr>
      <w:rFonts w:ascii="Arial" w:hAnsi="Arial" w:cs="Arial"/>
      <w:sz w:val="22"/>
      <w:szCs w:val="22"/>
    </w:rPr>
  </w:style>
  <w:style w:type="character" w:styleId="Style10" w:customStyle="1">
    <w:name w:val="Верхний колонтитул Знак"/>
    <w:qFormat/>
    <w:rsid w:val="00f3463c"/>
    <w:rPr>
      <w:rFonts w:ascii="Arial" w:hAnsi="Arial"/>
      <w:sz w:val="28"/>
    </w:rPr>
  </w:style>
  <w:style w:type="character" w:styleId="Style11">
    <w:name w:val="Символ нумерации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rsid w:val="00f83ceb"/>
    <w:pPr>
      <w:jc w:val="both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rsid w:val="00f83ce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TextIndent">
    <w:name w:val="Body Text Indent"/>
    <w:basedOn w:val="Normal"/>
    <w:rsid w:val="00f83ceb"/>
    <w:pPr>
      <w:ind w:firstLine="709"/>
      <w:jc w:val="both"/>
    </w:pPr>
    <w:rPr/>
  </w:style>
  <w:style w:type="paragraph" w:styleId="BodyTextIndent2">
    <w:name w:val="Body Text Indent 2"/>
    <w:basedOn w:val="Normal"/>
    <w:qFormat/>
    <w:rsid w:val="00f83ceb"/>
    <w:pPr>
      <w:ind w:firstLine="851"/>
      <w:jc w:val="both"/>
    </w:pPr>
    <w:rPr/>
  </w:style>
  <w:style w:type="paragraph" w:styleId="BodyTextIndent3">
    <w:name w:val="Body Text Indent 3"/>
    <w:basedOn w:val="Normal"/>
    <w:qFormat/>
    <w:rsid w:val="00f83ceb"/>
    <w:pPr>
      <w:ind w:firstLine="720"/>
      <w:jc w:val="both"/>
    </w:pPr>
    <w:rPr/>
  </w:style>
  <w:style w:type="paragraph" w:styleId="BodyText2">
    <w:name w:val="Body Text 2"/>
    <w:basedOn w:val="Normal"/>
    <w:qFormat/>
    <w:rsid w:val="00f83ceb"/>
    <w:pPr>
      <w:jc w:val="center"/>
    </w:pPr>
    <w:rPr/>
  </w:style>
  <w:style w:type="paragraph" w:styleId="Aaoieeeieiioeoo" w:customStyle="1">
    <w:name w:val="Aa?oiee eieiioeoo"/>
    <w:basedOn w:val="Normal"/>
    <w:qFormat/>
    <w:rsid w:val="00f83ceb"/>
    <w:pPr>
      <w:widowControl w:val="false"/>
      <w:tabs>
        <w:tab w:val="clear" w:pos="720"/>
        <w:tab w:val="center" w:pos="4153" w:leader="none"/>
        <w:tab w:val="right" w:pos="8306" w:leader="none"/>
      </w:tabs>
      <w:ind w:firstLine="709"/>
      <w:jc w:val="both"/>
    </w:pPr>
    <w:rPr>
      <w:sz w:val="24"/>
    </w:rPr>
  </w:style>
  <w:style w:type="paragraph" w:styleId="1" w:customStyle="1">
    <w:name w:val="Обычный1"/>
    <w:qFormat/>
    <w:rsid w:val="00f83ceb"/>
    <w:pPr>
      <w:widowControl w:val="false"/>
      <w:suppressAutoHyphens w:val="true"/>
      <w:bidi w:val="0"/>
      <w:spacing w:lineRule="auto" w:line="379" w:before="0" w:after="0"/>
      <w:ind w:firstLine="720"/>
      <w:jc w:val="both"/>
    </w:pPr>
    <w:rPr>
      <w:rFonts w:ascii="Courier New" w:hAnsi="Courier New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21" w:customStyle="1">
    <w:name w:val="Основной текст с отступом 21"/>
    <w:basedOn w:val="Normal"/>
    <w:qFormat/>
    <w:rsid w:val="00f83ceb"/>
    <w:pPr>
      <w:ind w:firstLine="567"/>
      <w:jc w:val="both"/>
    </w:pPr>
    <w:rPr>
      <w:rFonts w:ascii="Times New Roman" w:hAnsi="Times New Roman"/>
      <w:sz w:val="24"/>
    </w:rPr>
  </w:style>
  <w:style w:type="paragraph" w:styleId="Footer">
    <w:name w:val="footer"/>
    <w:basedOn w:val="Normal"/>
    <w:rsid w:val="00f83ceb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31" w:customStyle="1">
    <w:name w:val="Основной текст с отступом 31"/>
    <w:basedOn w:val="Normal"/>
    <w:qFormat/>
    <w:rsid w:val="00f83ceb"/>
    <w:pPr>
      <w:ind w:firstLine="709"/>
      <w:jc w:val="both"/>
    </w:pPr>
    <w:rPr>
      <w:sz w:val="24"/>
    </w:rPr>
  </w:style>
  <w:style w:type="paragraph" w:styleId="FootnoteText">
    <w:name w:val="footnote text"/>
    <w:basedOn w:val="Normal"/>
    <w:semiHidden/>
    <w:rsid w:val="00f83ceb"/>
    <w:pPr/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qFormat/>
    <w:rsid w:val="00f83ceb"/>
    <w:pPr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qFormat/>
    <w:rsid w:val="00f83ceb"/>
    <w:pPr>
      <w:ind w:hanging="1418" w:left="1418" w:right="1460"/>
      <w:jc w:val="both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9e6a31"/>
    <w:pPr>
      <w:spacing w:before="0" w:after="0"/>
      <w:ind w:left="720"/>
      <w:contextualSpacing/>
    </w:pPr>
    <w:rPr/>
  </w:style>
  <w:style w:type="paragraph" w:styleId="Style14">
    <w:name w:val="Содержимое врезки"/>
    <w:basedOn w:val="Normal"/>
    <w:qFormat/>
    <w:pPr/>
    <w:rPr/>
  </w:style>
  <w:style w:type="paragraph" w:styleId="Style15">
    <w:name w:val="Верхний колонтитул слева"/>
    <w:basedOn w:val="Header"/>
    <w:qFormat/>
    <w:pPr/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rsid w:val="002c73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image3.png"/><Relationship Id="rId11" Type="http://schemas.openxmlformats.org/officeDocument/2006/relationships/oleObject" Target="embeddings/oleObject1.bin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image" Target="media/image6.jpeg"/><Relationship Id="rId21" Type="http://schemas.openxmlformats.org/officeDocument/2006/relationships/header" Target="header7.xml"/><Relationship Id="rId22" Type="http://schemas.openxmlformats.org/officeDocument/2006/relationships/header" Target="header8.xml"/><Relationship Id="rId23" Type="http://schemas.openxmlformats.org/officeDocument/2006/relationships/header" Target="header9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Application>LibreOffice/24.8.4.2$Linux_X86_64 LibreOffice_project/480$Build-2</Application>
  <AppVersion>15.0000</AppVersion>
  <Pages>18</Pages>
  <Words>2705</Words>
  <Characters>19674</Characters>
  <CharactersWithSpaces>21918</CharactersWithSpaces>
  <Paragraphs>479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2016-06-15T11:21:00Z</dcterms:created>
  <dc:creator>В/О "Изотоп"</dc:creator>
  <dc:description/>
  <dc:language>ru-RU</dc:language>
  <cp:lastModifiedBy/>
  <cp:lastPrinted>2016-06-15T12:06:00Z</cp:lastPrinted>
  <dcterms:modified xsi:type="dcterms:W3CDTF">2026-06-26T09:45:48Z</dcterms:modified>
  <cp:revision>12</cp:revision>
  <dc:subject/>
  <dc:title>СОГЛАСОВАНО                                               УТВЕРЖДАЮ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