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114300" distB="114300" distL="114300" distR="114300">
            <wp:extent cx="5730875" cy="774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ТЕХНІЧНИЙ УНІВЕРСИТЕТ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«КИЇВСЬКИЙ ПОЛІТЕХНІЧНИЙ ІНСТИТУТ імені Ігоря Сікорського»</w:t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Факультет прикладної математики</w:t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Кафедра системного програмування і спеціалізованих комп’ютерних систем</w:t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Лабораторна робота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1</w:t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 дисципліни           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«Бази даних і засоби управління»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</w:p>
    <w:p>
      <w:pPr>
        <w:spacing w:before="240" w:after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Виконав: студент ІІІ курсу</w:t>
      </w:r>
    </w:p>
    <w:p>
      <w:pPr>
        <w:spacing w:before="240" w:after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ФПМ групи КВ-01</w:t>
      </w:r>
    </w:p>
    <w:p>
      <w:pPr>
        <w:spacing w:before="240" w:after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Калитенко Максим Петрович</w:t>
      </w:r>
    </w:p>
    <w:p>
      <w:pPr>
        <w:spacing w:before="240" w:after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Перевірив: Павловський В.І.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before="24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Київ – 2022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Проектування бази даних та ознайомлення з базовими операціями СУБД PostgreSQL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Метою роботи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Завдання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роботи полягає у наступному:</w:t>
      </w:r>
    </w:p>
    <w:p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>
      <w:pPr>
        <w:numPr>
          <w:ilvl w:val="0"/>
          <w:numId w:val="1"/>
        </w:numPr>
        <w:spacing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Перетворити розроблену модель у схему бази даних (таблиці) PostgreSQL.</w:t>
      </w:r>
    </w:p>
    <w:p>
      <w:pPr>
        <w:numPr>
          <w:ilvl w:val="0"/>
          <w:numId w:val="1"/>
        </w:numPr>
        <w:spacing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Виконати нормалізацію схеми бази даних до третьої нормальної форми (3НФ).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numPr>
          <w:ilvl w:val="0"/>
          <w:numId w:val="1"/>
        </w:numPr>
        <w:spacing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Ознайомитись із інструментарієм PostgreSQL та pgAdmin 4 та внести декілька рядків даних у кожну з таблиць засобами pgAdmin 4.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Концептуальна модель предметної області “Обслуговування складу” </w:t>
      </w:r>
    </w:p>
    <w:p>
      <w:pPr>
        <w:spacing w:after="200" w:line="240" w:lineRule="auto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 концептуальній моделі предметної області “Обслуговування складу” (рис. 1) виділяються наступні сутності та зв’язки між ними:</w:t>
      </w:r>
    </w:p>
    <w:p>
      <w:pPr>
        <w:numPr>
          <w:ilvl w:val="0"/>
          <w:numId w:val="2"/>
        </w:numPr>
        <w:spacing w:after="0" w:afterAutospacing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“Склад” з атрибутами: складID, площа, власник, стан будівлі;</w:t>
      </w:r>
    </w:p>
    <w:p>
      <w:pPr>
        <w:numPr>
          <w:ilvl w:val="0"/>
          <w:numId w:val="2"/>
        </w:numPr>
        <w:spacing w:after="0" w:afterAutospacing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“Зона” з атрибутами: зонаID, ємність, заповненість;</w:t>
      </w:r>
    </w:p>
    <w:p>
      <w:pPr>
        <w:numPr>
          <w:ilvl w:val="0"/>
          <w:numId w:val="2"/>
        </w:numPr>
        <w:spacing w:after="0" w:afterAutospacing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“Працівник” з атрибутами: працівникID, повне ім’я, заробітна плата;</w:t>
      </w:r>
    </w:p>
    <w:p>
      <w:pPr>
        <w:numPr>
          <w:ilvl w:val="0"/>
          <w:numId w:val="2"/>
        </w:numPr>
        <w:spacing w:after="0" w:afterAutospacing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“Шафка” з атрибутами: шафкаID, стан;</w:t>
      </w:r>
    </w:p>
    <w:p>
      <w:pPr>
        <w:numPr>
          <w:ilvl w:val="0"/>
          <w:numId w:val="2"/>
        </w:numPr>
        <w:spacing w:after="20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“Товар” з атрибутами: товарID, тип, назва, ціна;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Один склад може бути поділений на декілька зон, тому між сутностями “Склад” та “Зона” зв’язок R (1:N).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 одній зоні може знаходитись багато товарів, тому між сутностями “Зона” та “Товар” зв’язок R (1:N).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 одну й ту саму зону може відповідати кілька працівників, і навпаки, один працівник може відповідати одразу за декілька зон, тому між сутностями “Зона” та “Працівник” зв’язок R (N:M).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У одного працівника може бути тільки одна шафка, тому між сутностями “Працівник” та “Шафка” зв’язок R (1:1).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2133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Рис.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</w:t>
      </w:r>
      <w:bookmarkStart w:id="0" w:name="_GoBack"/>
      <w:bookmarkEnd w:id="0"/>
      <w:r>
        <w:rPr>
          <w:rFonts w:ascii="Times New Roman" w:hAnsi="Times New Roman" w:eastAsia="Times New Roman" w:cs="Times New Roman"/>
          <w:sz w:val="28"/>
          <w:szCs w:val="28"/>
          <w:rtl w:val="0"/>
        </w:rPr>
        <w:t>1 - Концептуальна модель предметної області “Обслуговування складу”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Логічна модель (схема) БД “Обслуговування складу”</w:t>
      </w:r>
    </w:p>
    <w:p>
      <w:pPr>
        <w:spacing w:after="200" w:line="240" w:lineRule="auto"/>
        <w:ind w:left="0"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 логічній моделі (рис. 2):</w:t>
      </w:r>
    </w:p>
    <w:p>
      <w:pPr>
        <w:numPr>
          <w:ilvl w:val="0"/>
          <w:numId w:val="3"/>
        </w:numPr>
        <w:spacing w:after="0" w:afterAutospacing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“Склад” перетворена в таблицю “Storage”;</w:t>
      </w:r>
    </w:p>
    <w:p>
      <w:pPr>
        <w:numPr>
          <w:ilvl w:val="0"/>
          <w:numId w:val="3"/>
        </w:numPr>
        <w:spacing w:after="0" w:afterAutospacing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“Зона” перетворена в таблицю “Zone”;</w:t>
      </w:r>
    </w:p>
    <w:p>
      <w:pPr>
        <w:numPr>
          <w:ilvl w:val="0"/>
          <w:numId w:val="3"/>
        </w:numPr>
        <w:spacing w:after="0" w:afterAutospacing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“Працівник” перетворена в таблицю “Employee”;</w:t>
      </w:r>
    </w:p>
    <w:p>
      <w:pPr>
        <w:numPr>
          <w:ilvl w:val="0"/>
          <w:numId w:val="3"/>
        </w:numPr>
        <w:spacing w:after="0" w:afterAutospacing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“Шафка” перетворена в таблицю “Locker”;</w:t>
      </w:r>
    </w:p>
    <w:p>
      <w:pPr>
        <w:numPr>
          <w:ilvl w:val="0"/>
          <w:numId w:val="3"/>
        </w:numPr>
        <w:spacing w:after="20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Сутність “Товар” перетворена в таблицю “Stuff”;</w:t>
      </w:r>
    </w:p>
    <w:p>
      <w:pPr>
        <w:spacing w:after="200" w:line="240" w:lineRule="auto"/>
        <w:ind w:left="0"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Оскільки відношення між зонами та працівниками R (N:M), потрібно створити ще одну додаткову таблицю з працівниками та зонами під назвою “Zone_Employee”.</w:t>
      </w:r>
    </w:p>
    <w:p>
      <w:pPr>
        <w:spacing w:after="200" w:line="240" w:lineRule="auto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Оскільки відношення між шафками та працівниками R (1:1), потрібно створити ще одну додаткову таблицю з працівниками та шафками під назвою “Employee_Locker”.</w:t>
      </w:r>
    </w:p>
    <w:p>
      <w:pPr>
        <w:spacing w:after="200" w:line="24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4381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ind w:left="0" w:firstLine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Рис.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2 - Логічна модель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предметної області “Обслуговування складу”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Опис структури БД</w:t>
      </w:r>
    </w:p>
    <w:tbl>
      <w:tblPr>
        <w:tblStyle w:val="13"/>
        <w:tblW w:w="10950" w:type="dxa"/>
        <w:tblInd w:w="-93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105"/>
        <w:gridCol w:w="5310"/>
        <w:gridCol w:w="253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Сутність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Атрибут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Тип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Storage         (інформація про склад)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StorageID - унікальний ID складу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Area - площа складу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Owner - власник складу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Status - стан складу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Текстовий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Текстовий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Перечислювальний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Zone             (інформація про зони на які поділено склад)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ZoneID - унікальний ID зони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StorageID - ID складу, де знаходиться зона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Capacity - ємність зони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Fullness - заповненість зони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Текстовий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Текстовий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Stuff</w:t>
            </w:r>
          </w:p>
          <w:p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(інформація про товар)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StuffID - унікальний ID товару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ZoneID - ID зони, де знаходиться товар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Type - тип товару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Name - назва товару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Price - ціна товару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Перечислювальний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Текстовий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Employee</w:t>
            </w:r>
          </w:p>
          <w:p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(інформація про працівників)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EmployeeID - унікальний ID працівника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Full name - повне ім’я працівника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Salary - заробітна плата працівника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Текстовий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Locker</w:t>
            </w:r>
          </w:p>
          <w:p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(інформація про шафку)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LockerID - унікальний ID шафки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Condition - стан шафки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Текстовий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Zone_Employee (інформація про зони та працівників)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ZoneID - ID зони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EmployeeID - ID працівника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Employee_Locker (інформація про працівників та шафки)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EmployeeID - ID працівника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LockerID - ID шафки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rtl w:val="0"/>
              </w:rPr>
              <w:t>Числовий</w:t>
            </w:r>
          </w:p>
        </w:tc>
      </w:tr>
    </w:tbl>
    <w:p>
      <w:pPr>
        <w:spacing w:after="200" w:line="240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Структура БД “Обслуговування складу”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730875" cy="49022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Рис.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3 - Структурна модель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предметної області “Обслуговування складу”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Схема відповідає 1НФ, а саме:</w:t>
      </w:r>
    </w:p>
    <w:p>
      <w:pPr>
        <w:numPr>
          <w:ilvl w:val="0"/>
          <w:numId w:val="4"/>
        </w:numPr>
        <w:spacing w:after="0" w:afterAutospacing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Кожна таблиця повинна мати основний ключ (Primary key, PK): мінімальний набір атрибутів, які ідентифікують запис;</w:t>
      </w:r>
    </w:p>
    <w:p>
      <w:pPr>
        <w:numPr>
          <w:ilvl w:val="0"/>
          <w:numId w:val="4"/>
        </w:numPr>
        <w:spacing w:before="0" w:beforeAutospacing="0" w:after="24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Кожен атрибут повинен мати лише одне значення, а не множину значень.</w:t>
      </w:r>
    </w:p>
    <w:p>
      <w:pPr>
        <w:spacing w:after="200" w:line="240" w:lineRule="auto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Схема відповідає 2НФ, а саме:</w:t>
      </w:r>
    </w:p>
    <w:p>
      <w:pPr>
        <w:numPr>
          <w:ilvl w:val="0"/>
          <w:numId w:val="5"/>
        </w:numPr>
        <w:spacing w:before="240" w:after="0" w:afterAutospacing="0" w:line="240" w:lineRule="auto"/>
        <w:ind w:left="72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Схема повинна відповідати вимогам 1НФ;</w:t>
      </w:r>
    </w:p>
    <w:p>
      <w:pPr>
        <w:numPr>
          <w:ilvl w:val="0"/>
          <w:numId w:val="5"/>
        </w:numPr>
        <w:spacing w:before="0" w:beforeAutospacing="0" w:after="24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252525"/>
          <w:sz w:val="28"/>
          <w:szCs w:val="28"/>
          <w:rtl w:val="0"/>
        </w:rPr>
        <w:t>Атрибути повинні повністю залежати від обох первинних атрибутів, а не від якогось окремого.</w:t>
      </w:r>
    </w:p>
    <w:p>
      <w:pPr>
        <w:spacing w:after="20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Схема відповідає 3НФ, а саме:</w:t>
      </w:r>
    </w:p>
    <w:p>
      <w:pPr>
        <w:numPr>
          <w:ilvl w:val="0"/>
          <w:numId w:val="6"/>
        </w:numPr>
        <w:spacing w:before="240" w:after="0" w:afterAutospacing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Схема повинна відповідати вимогам 2НФ;</w:t>
      </w:r>
    </w:p>
    <w:p>
      <w:pPr>
        <w:numPr>
          <w:ilvl w:val="0"/>
          <w:numId w:val="6"/>
        </w:numPr>
        <w:spacing w:before="0" w:beforeAutospacing="0" w:after="24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Дані в таблиці повинні залежати винятково від основного ключа.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Структура БД “Обслуговування складу” в pgAdmin 4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114300" distB="114300" distL="114300" distR="114300">
            <wp:extent cx="5730875" cy="4508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Рис.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Структура предметної області “Обслуговування складу” в pgAdmin 4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Опис таблиць БД “Обслуговування складу” в pgAdmin 4</w:t>
      </w:r>
    </w:p>
    <w:p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114300" distB="114300" distL="114300" distR="114300">
            <wp:extent cx="5730875" cy="69088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114300" distB="114300" distL="114300" distR="114300">
            <wp:extent cx="5730875" cy="6718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114300" distB="114300" distL="114300" distR="114300">
            <wp:extent cx="3738245" cy="138493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3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5E825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Office_11.2.0.11440_F1E327BC-269C-435d-A152-05C5408002CA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2022-12-22T20:49:00Z</dcterms:created>
  <dc:creator>kalit</dc:creator>
  <cp:lastModifiedBy>Kalmak</cp:lastModifiedBy>
  <dcterms:modified xsi:type="dcterms:W3CDTF">2022-12-22T20:50:06Z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BEF3EE239F694859978D73311DC81B68</vt:lpwstr>
  </property>
</Properties>
</file>