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Calibri" w:cs="Calibri" w:eastAsia="Calibri" w:hAnsi="Calibri"/>
          <w:b/>
          <w:bCs/>
          <w:color w:val="1F4E79"/>
          <w:sz w:val="36"/>
          <w:szCs w:val="36"/>
        </w:rPr>
        <w:t xml:space="preserve">Clinical Natural Language Technology for Health Care</w:t>
      </w:r>
    </w:p>
    <w:p>
      <w:pPr>
        <w:spacing w:after="80" w:before="0"/>
        <w:jc w:val="center"/>
      </w:pPr>
      <w:r>
        <w:rPr>
          <w:rFonts w:ascii="Calibri" w:cs="Calibri" w:eastAsia="Calibri" w:hAnsi="Calibri"/>
          <w:i/>
          <w:iCs/>
          <w:color w:val="777777"/>
          <w:sz w:val="22"/>
          <w:szCs w:val="22"/>
        </w:rPr>
        <w:t xml:space="preserve">Past, Present &amp; Future — NLP, OCR, Computer Vision, LLMs, and Multimodal AI</w:t>
      </w:r>
    </w:p>
    <w:p>
      <w:pPr>
        <w:spacing w:after="320" w:before="0"/>
        <w:jc w:val="center"/>
      </w:pPr>
      <w:r>
        <w:rPr>
          <w:rFonts w:ascii="Calibri" w:cs="Calibri" w:eastAsia="Calibri" w:hAnsi="Calibri"/>
          <w:color w:val="999999"/>
          <w:sz w:val="20"/>
          <w:szCs w:val="20"/>
        </w:rPr>
        <w:t xml:space="preserve">Kalpan Shah  ·  Northeastern University</w:t>
      </w:r>
    </w:p>
    <w:p>
      <w:pPr>
        <w:pStyle w:val="Heading1"/>
      </w:pPr>
      <w:r>
        <w:t xml:space="preserve">1. Concept Definition</w:t>
      </w:r>
    </w:p>
    <w:p>
      <w:pPr>
        <w:spacing w:after="100" w:before="80"/>
        <w:jc w:val="both"/>
      </w:pPr>
      <w:r>
        <w:rPr>
          <w:rFonts w:ascii="Calibri" w:cs="Calibri" w:eastAsia="Calibri" w:hAnsi="Calibri"/>
          <w:color w:val="444444"/>
          <w:sz w:val="22"/>
          <w:szCs w:val="22"/>
        </w:rPr>
        <w:t xml:space="preserve">Clinical Natural Language Technology (CNLT) refers to the set of computational tools that read, interpret, and extract meaning from unstructured clinical content — physician notes, discharge summaries, radiology reports, prior authorization letters, scanned documents. Healthcare generates an estimated 80% of its data in these unstructured formats, yet most analytics pipelines only touch the structured slice: billing codes, lab values, demographics. CNLT is what bridges that gap, converting dark data into something a system can actually reason over.</w:t>
      </w:r>
    </w:p>
    <w:p>
      <w:pPr>
        <w:spacing w:after="100" w:before="80"/>
        <w:jc w:val="both"/>
      </w:pPr>
      <w:r>
        <w:rPr>
          <w:rFonts w:ascii="Calibri" w:cs="Calibri" w:eastAsia="Calibri" w:hAnsi="Calibri"/>
          <w:color w:val="444444"/>
          <w:sz w:val="22"/>
          <w:szCs w:val="22"/>
        </w:rPr>
        <w:t xml:space="preserve">The field has gone through three fairly distinct generations. In the nineties and early 2000s, tools like cTAKES and MedLEE used hand-written rules and medical ontologies to parse clinical text. They worked reasonably well on the documents they were designed for but fell apart the moment language varied. The 2010s brought statistical and neural approaches — BioBERT, ClinicalBERT — that learned patterns from data rather than needing them spelled out by a developer. Those systems are still widely deployed today. Then starting around 2020, large foundation models changed the picture again. Llama, GPT-4, Med-PaLM 2 — these models can follow clinical reasoning chains, answer medical questions at near-physician accuracy, and now, when fine-tuned on domain-specific data, handle tasks like differential diagnosis with measurable, evaluated precision.</w:t>
      </w:r>
    </w:p>
    <w:p>
      <w:pPr>
        <w:spacing w:after="100" w:before="80"/>
        <w:jc w:val="both"/>
      </w:pPr>
      <w:r>
        <w:rPr>
          <w:rFonts w:ascii="Calibri" w:cs="Calibri" w:eastAsia="Calibri" w:hAnsi="Calibri"/>
          <w:color w:val="444444"/>
          <w:sz w:val="22"/>
          <w:szCs w:val="22"/>
        </w:rPr>
        <w:t xml:space="preserve">A concrete example: a system built on Llama-3.2-3B-Instruct, fine-tuned on the DDXPlus dataset — 1.3 million synthetic patient cases across 49 diseases — and paired with a deterministic safety layer that enforces specialist referral for severe conditions and low-confidence outputs. Evaluated on 50,000 held-out test cases under a strict Pass@1 criterion, the system achieved 69.1% overall accuracy. More importantly, every case the system chose to diagnose directly was correct — 100% precision on the 17,061 cases it committed to. The remaining cases were correctly routed to referral, either because the predicted disease was high-risk or because the model's confidence didn't clear the dynamic threshold.</w:t>
      </w:r>
    </w:p>
    <w:p>
      <w:pPr>
        <w:pStyle w:val="Heading1"/>
      </w:pPr>
      <w:r>
        <w:t xml:space="preserve">2. Relevant Trends</w:t>
      </w:r>
    </w:p>
    <w:p>
      <w:pPr>
        <w:pStyle w:val="Heading2"/>
      </w:pPr>
      <w:r>
        <w:t xml:space="preserve">2.1  Fine-Tuning Has Become Practical</w:t>
      </w:r>
    </w:p>
    <w:p>
      <w:pPr>
        <w:spacing w:after="100" w:before="80"/>
        <w:jc w:val="both"/>
      </w:pPr>
      <w:r>
        <w:rPr>
          <w:rFonts w:ascii="Calibri" w:cs="Calibri" w:eastAsia="Calibri" w:hAnsi="Calibri"/>
          <w:color w:val="444444"/>
          <w:sz w:val="22"/>
          <w:szCs w:val="22"/>
        </w:rPr>
        <w:t xml:space="preserve">A few years ago, adapting a large language model to a clinical task meant either accepting an off-the-shelf general model or committing to a full retraining run that required serious GPU resources and months of work. Low-Rank Adaptation (LoRA) changed that. By injecting small trainable matrices into the frozen base model's attention layers, LoRA achieves meaningful domain specialization while touching only a fraction of the model's parameters. In practice this means a Llama-scale model can be fine-tuned on a clinical dataset — DDXPlus, MIMIC-IV, a proprietary claims corpus — on a single GPU in hours rather than weeks. Models fine-tuned this way routinely beat their untuned counterparts by 15–30 percentage points on clinical benchmarks.</w:t>
      </w:r>
    </w:p>
    <w:p>
      <w:pPr>
        <w:pStyle w:val="Heading2"/>
      </w:pPr>
      <w:r>
        <w:t xml:space="preserve">2.2  Safety Is Moving Out of the Prompt and Into the Code</w:t>
      </w:r>
    </w:p>
    <w:p>
      <w:pPr>
        <w:spacing w:after="100" w:before="80"/>
        <w:jc w:val="both"/>
      </w:pPr>
      <w:r>
        <w:rPr>
          <w:rFonts w:ascii="Calibri" w:cs="Calibri" w:eastAsia="Calibri" w:hAnsi="Calibri"/>
          <w:color w:val="444444"/>
          <w:sz w:val="22"/>
          <w:szCs w:val="22"/>
        </w:rPr>
        <w:t xml:space="preserve">The emerging consensus in production clinical AI is that you should not ask the model to be safe — you should enforce safety externally. Early approaches tried to embed safety rules in the system prompt: "if you're uncertain, refer to a specialist." The problem is that prompt-based safety is only as reliable as the model's ability to follow instructions, which varies. The better pattern separates inference from safety enforcement entirely. The model predicts; a downstream decision layer applies non-negotiable rules. A dynamic confidence threshold — where the bar scales with case complexity rather than using a fixed cutoff — is proving especially effective. On DDXPlus, a threshold of 2/N (where N is the number of differential diagnoses) correctly referred 20,195 severe-disease cases while maintaining 100% precision on directly diagnosed ones.</w:t>
      </w:r>
    </w:p>
    <w:p>
      <w:pPr>
        <w:pStyle w:val="Heading2"/>
      </w:pPr>
      <w:r>
        <w:t xml:space="preserve">2.3  Retrieval-Augmented Generation Is Becoming the Standard</w:t>
      </w:r>
    </w:p>
    <w:p>
      <w:pPr>
        <w:spacing w:after="100" w:before="80"/>
        <w:jc w:val="both"/>
      </w:pPr>
      <w:r>
        <w:rPr>
          <w:rFonts w:ascii="Calibri" w:cs="Calibri" w:eastAsia="Calibri" w:hAnsi="Calibri"/>
          <w:color w:val="444444"/>
          <w:sz w:val="22"/>
          <w:szCs w:val="22"/>
        </w:rPr>
        <w:t xml:space="preserve">Hallucination is the main thing standing between current LLMs and production deployment in clinical workflows. Retrieval-Augmented Generation (RAG) addresses this by grounding model outputs in retrieved, version-controlled source documents — clinical guidelines, payer policies, LCD/NCD manuals — at inference time. The retrieved passages serve two purposes simultaneously: they anchor the model's response to factual content, and they constitute the audit trail that regulators increasingly require. Agentic frameworks built on top of RAG are now capable of running multi-step workflows — from claim intake through clinical review to authorization decision — without human intervention at each step.</w:t>
      </w:r>
    </w:p>
    <w:p>
      <w:pPr>
        <w:pStyle w:val="Heading2"/>
      </w:pPr>
      <w:r>
        <w:t xml:space="preserve">2.4  Multimodal Models Are Opening Up Imaging</w:t>
      </w:r>
    </w:p>
    <w:p>
      <w:pPr>
        <w:spacing w:after="100" w:before="80"/>
        <w:jc w:val="both"/>
      </w:pPr>
      <w:r>
        <w:rPr>
          <w:rFonts w:ascii="Calibri" w:cs="Calibri" w:eastAsia="Calibri" w:hAnsi="Calibri"/>
          <w:color w:val="444444"/>
          <w:sz w:val="22"/>
          <w:szCs w:val="22"/>
        </w:rPr>
        <w:t xml:space="preserve">Clinical notes only tell part of the story. Radiology reports describe what's in an image, but they're a lossy summary — the image itself contains information that the text never captures. Large Multimodal Models (LMMs) like GPT-4V and Google's MedPaLM-M can jointly reason over text and DICOM images, pathology slides, and ECG waveforms, surfacing cross-modal signals that text-only systems miss entirely. For payment integrity specifically, this opens up the ability to audit image-supported claims by checking whether the imaging findings described in a radiology report are actually consistent with what the image shows — a kind of automated clinical audit that wasn't previously possible at scale.</w:t>
      </w:r>
    </w:p>
    <w:p>
      <w:pPr>
        <w:pStyle w:val="Heading2"/>
      </w:pPr>
      <w:r>
        <w:t xml:space="preserve">2.5  Regulation Is Catching Up</w:t>
      </w:r>
    </w:p>
    <w:p>
      <w:pPr>
        <w:spacing w:after="100" w:before="80"/>
        <w:jc w:val="both"/>
      </w:pPr>
      <w:r>
        <w:rPr>
          <w:rFonts w:ascii="Calibri" w:cs="Calibri" w:eastAsia="Calibri" w:hAnsi="Calibri"/>
          <w:color w:val="444444"/>
          <w:sz w:val="22"/>
          <w:szCs w:val="22"/>
        </w:rPr>
        <w:t xml:space="preserve">The FDA's Software as a Medical Device (SaMD) framework, the EU AI Act, and CMS price transparency rules are converging on a set of requirements that will reshape how clinical AI is developed and deployed: explainability, audit trails, bias documentation, and in some cases pre-market review. This isn't just a compliance burden — it's also a business opportunity. Organizations that build robust AI assurance capabilities early will have something to offer health plan clients who are navigating these requirements themselves.</w:t>
      </w:r>
    </w:p>
    <w:p>
      <w:pPr>
        <w:pStyle w:val="Heading1"/>
      </w:pPr>
      <w:r>
        <w:t xml:space="preserve">3. Opportunities and Threats</w:t>
      </w:r>
    </w:p>
    <w:p>
      <w:pPr>
        <w:pStyle w:val="Heading2"/>
      </w:pPr>
      <w:r>
        <w:t xml:space="preserve">Opportunities</w:t>
      </w:r>
    </w:p>
    <w:p>
      <w:pPr>
        <w:pStyle w:val="ListParagraph"/>
        <w:numPr>
          <w:ilvl w:val="0"/>
          <w:numId w:val="2"/>
        </w:numPr>
        <w:spacing w:after="50" w:before="50"/>
      </w:pPr>
      <w:r>
        <w:rPr>
          <w:rFonts w:ascii="Calibri" w:cs="Calibri" w:eastAsia="Calibri" w:hAnsi="Calibri"/>
          <w:color w:val="444444"/>
          <w:sz w:val="22"/>
          <w:szCs w:val="22"/>
        </w:rPr>
        <w:t xml:space="preserve">Automated coding support: A fine-tuned LLM reading complete clinical notes can suggest ICD-10 and CPT codes with the reasoning laid out alongside them — reducing coder burden and catching the under-coding that leaks revenue.</w:t>
      </w:r>
    </w:p>
    <w:p>
      <w:pPr>
        <w:pStyle w:val="ListParagraph"/>
        <w:numPr>
          <w:ilvl w:val="0"/>
          <w:numId w:val="2"/>
        </w:numPr>
        <w:spacing w:after="50" w:before="50"/>
      </w:pPr>
      <w:r>
        <w:rPr>
          <w:rFonts w:ascii="Calibri" w:cs="Calibri" w:eastAsia="Calibri" w:hAnsi="Calibri"/>
          <w:color w:val="444444"/>
          <w:sz w:val="22"/>
          <w:szCs w:val="22"/>
        </w:rPr>
        <w:t xml:space="preserve">Confidence-weighted prior authorization: Applying a dynamic confidence threshold to authorization decisions — modeled directly on the DDXPlus approach — means high-complexity or ambiguous cases get routed to human reviewers while routine approvals clear automatically. Cleaner decisions, faster turnaround, less provider friction.</w:t>
      </w:r>
    </w:p>
    <w:p>
      <w:pPr>
        <w:pStyle w:val="ListParagraph"/>
        <w:numPr>
          <w:ilvl w:val="0"/>
          <w:numId w:val="2"/>
        </w:numPr>
        <w:spacing w:after="50" w:before="50"/>
      </w:pPr>
      <w:r>
        <w:rPr>
          <w:rFonts w:ascii="Calibri" w:cs="Calibri" w:eastAsia="Calibri" w:hAnsi="Calibri"/>
          <w:color w:val="444444"/>
          <w:sz w:val="22"/>
          <w:szCs w:val="22"/>
        </w:rPr>
        <w:t xml:space="preserve">Richer fraud, waste, and abuse detection: Structured claims data tells you what was billed. Clinical notes tell you what actually happened. Combining the two produces FWA signals that structured-only models simply cannot see.</w:t>
      </w:r>
    </w:p>
    <w:p>
      <w:pPr>
        <w:pStyle w:val="ListParagraph"/>
        <w:numPr>
          <w:ilvl w:val="0"/>
          <w:numId w:val="2"/>
        </w:numPr>
        <w:spacing w:after="50" w:before="50"/>
      </w:pPr>
      <w:r>
        <w:rPr>
          <w:rFonts w:ascii="Calibri" w:cs="Calibri" w:eastAsia="Calibri" w:hAnsi="Calibri"/>
          <w:color w:val="444444"/>
          <w:sz w:val="22"/>
          <w:szCs w:val="22"/>
        </w:rPr>
        <w:t xml:space="preserve">Real-world evidence at scale: Mining clinical notes across a patient population enables retrospective cohort construction without running a prospective trial. For value-based contracting and outcomes analytics, that's a significant capability shift.</w:t>
      </w:r>
    </w:p>
    <w:p>
      <w:pPr>
        <w:pStyle w:val="ListParagraph"/>
        <w:numPr>
          <w:ilvl w:val="0"/>
          <w:numId w:val="2"/>
        </w:numPr>
        <w:spacing w:after="50" w:before="50"/>
      </w:pPr>
      <w:r>
        <w:rPr>
          <w:rFonts w:ascii="Calibri" w:cs="Calibri" w:eastAsia="Calibri" w:hAnsi="Calibri"/>
          <w:color w:val="444444"/>
          <w:sz w:val="22"/>
          <w:szCs w:val="22"/>
        </w:rPr>
        <w:t xml:space="preserve">Safety-stratified claim auditing: The confidence-aware triage architecture demonstrated on DDXPlus maps naturally to payment integrity — flag high-uncertainty or high-severity claims for human review, let the rest clear automatically, and maintain a full audit trail for every decision.</w:t>
      </w:r>
    </w:p>
    <w:p>
      <w:pPr>
        <w:pStyle w:val="Heading2"/>
      </w:pPr>
      <w:r>
        <w:t xml:space="preserve">Threats</w:t>
      </w:r>
    </w:p>
    <w:p>
      <w:pPr>
        <w:pStyle w:val="ListParagraph"/>
        <w:numPr>
          <w:ilvl w:val="0"/>
          <w:numId w:val="2"/>
        </w:numPr>
        <w:spacing w:after="50" w:before="50"/>
      </w:pPr>
      <w:r>
        <w:rPr>
          <w:rFonts w:ascii="Calibri" w:cs="Calibri" w:eastAsia="Calibri" w:hAnsi="Calibri"/>
          <w:color w:val="444444"/>
          <w:sz w:val="22"/>
          <w:szCs w:val="22"/>
        </w:rPr>
        <w:t xml:space="preserve">Hallucination in production: An LLM that confidently generates an incorrect ICD-10 code or misreads a clinical note creates real financial and patient-safety risk. Robust evaluation frameworks and deterministic safety layers are non-optional in this environment.</w:t>
      </w:r>
    </w:p>
    <w:p>
      <w:pPr>
        <w:pStyle w:val="ListParagraph"/>
        <w:numPr>
          <w:ilvl w:val="0"/>
          <w:numId w:val="2"/>
        </w:numPr>
        <w:spacing w:after="50" w:before="50"/>
      </w:pPr>
      <w:r>
        <w:rPr>
          <w:rFonts w:ascii="Calibri" w:cs="Calibri" w:eastAsia="Calibri" w:hAnsi="Calibri"/>
          <w:color w:val="444444"/>
          <w:sz w:val="22"/>
          <w:szCs w:val="22"/>
        </w:rPr>
        <w:t xml:space="preserve">PHI exposure: Sending clinical notes — even de-identified ones — to third-party API providers creates HIPAA liability that on-premise or private-cloud deployment has to address. This is a real constraint on how quickly the technology can be adopted.</w:t>
      </w:r>
    </w:p>
    <w:p>
      <w:pPr>
        <w:pStyle w:val="ListParagraph"/>
        <w:numPr>
          <w:ilvl w:val="0"/>
          <w:numId w:val="2"/>
        </w:numPr>
        <w:spacing w:after="50" w:before="50"/>
      </w:pPr>
      <w:r>
        <w:rPr>
          <w:rFonts w:ascii="Calibri" w:cs="Calibri" w:eastAsia="Calibri" w:hAnsi="Calibri"/>
          <w:color w:val="444444"/>
          <w:sz w:val="22"/>
          <w:szCs w:val="22"/>
        </w:rPr>
        <w:t xml:space="preserve">Algorithmic bias: Models trained predominantly on academic medical center data perform worse on community hospital notes, non-English documentation, and underrepresented patient populations. Health equity implications aside, this is also an accuracy and liability problem.</w:t>
      </w:r>
    </w:p>
    <w:p>
      <w:pPr>
        <w:pStyle w:val="ListParagraph"/>
        <w:numPr>
          <w:ilvl w:val="0"/>
          <w:numId w:val="2"/>
        </w:numPr>
        <w:spacing w:after="50" w:before="50"/>
      </w:pPr>
      <w:r>
        <w:rPr>
          <w:rFonts w:ascii="Calibri" w:cs="Calibri" w:eastAsia="Calibri" w:hAnsi="Calibri"/>
          <w:color w:val="444444"/>
          <w:sz w:val="22"/>
          <w:szCs w:val="22"/>
        </w:rPr>
        <w:t xml:space="preserve">Commoditization pressure: The base LLM layer is commoditizing fast. Differentiation increasingly lives in the proprietary dataset, the domain-specific fine-tuning pipeline, and the workflow integration — not in the underlying model weights.</w:t>
      </w:r>
    </w:p>
    <w:p>
      <w:pPr>
        <w:pStyle w:val="Heading1"/>
      </w:pPr>
      <w:r>
        <w:t xml:space="preserve">4. Strategic Recommendations for Cotiviti</w:t>
      </w:r>
    </w:p>
    <w:p>
      <w:pPr>
        <w:pStyle w:val="Heading2"/>
      </w:pPr>
      <w:r>
        <w:t xml:space="preserve">Recommendation 1: Build a Private-Cloud Clinical LLM Foundry</w:t>
      </w:r>
    </w:p>
    <w:p>
      <w:pPr>
        <w:spacing w:after="100" w:before="80"/>
        <w:jc w:val="both"/>
      </w:pPr>
      <w:r>
        <w:rPr>
          <w:rFonts w:ascii="Calibri" w:cs="Calibri" w:eastAsia="Calibri" w:hAnsi="Calibri"/>
          <w:color w:val="444444"/>
          <w:sz w:val="22"/>
          <w:szCs w:val="22"/>
        </w:rPr>
        <w:t xml:space="preserve">Cotiviti sits on a uniquely valuable combination of de-identified claims data and clinical content. The right move is to build a HIPAA-compliant fine-tuning and inference pipeline — Azure Government or AWS GovCloud — that uses LoRA to adapt a foundation model (Llama 3, Mistral, or equivalent) on that proprietary corpus. The architecture should follow the pattern that has already been validated at scale: model inference separated from a deterministic decision layer that enforces safety independently. This foundry becomes the backbone for coding support, prior authorization, and FWA — and a data moat that commodity API providers cannot replicate because they don't have the data.</w:t>
      </w:r>
    </w:p>
    <w:p>
      <w:pPr>
        <w:pStyle w:val="Heading2"/>
      </w:pPr>
      <w:r>
        <w:t xml:space="preserve">Recommendation 2: Launch a Confidence-Aware Prior Authorization Agent</w:t>
      </w:r>
    </w:p>
    <w:p>
      <w:pPr>
        <w:spacing w:after="100" w:before="80"/>
        <w:jc w:val="both"/>
      </w:pPr>
      <w:r>
        <w:rPr>
          <w:rFonts w:ascii="Calibri" w:cs="Calibri" w:eastAsia="Calibri" w:hAnsi="Calibri"/>
          <w:color w:val="444444"/>
          <w:sz w:val="22"/>
          <w:szCs w:val="22"/>
        </w:rPr>
        <w:t xml:space="preserve">The prior authorization process is expensive, slow, and largely rule-based — exactly the conditions where a RAG-augmented agent with dynamic confidence thresholding can deliver measurable ROI quickly. The agent retrieves relevant clinical guidelines and payer policies at query time, evaluates the authorization request against them, and applies a tiered decision: straightforward cases with high-confidence policy matches clear automatically, complex or uncertain cases escalate to a human reviewer, and requests touching predefined high-risk procedure types always get human eyes. The retrieved source documents serve as the audit trail. A phased rollout starting with high-volume, rule-bound procedures — imaging, DME — gives a fast path to demonstrable savings within a single contract cycle.</w:t>
      </w:r>
    </w:p>
    <w:p>
      <w:pPr>
        <w:pStyle w:val="Heading2"/>
      </w:pPr>
      <w:r>
        <w:t xml:space="preserve">Recommendation 3: Make AI Assurance a Product</w:t>
      </w:r>
    </w:p>
    <w:p>
      <w:pPr>
        <w:spacing w:after="100" w:before="80"/>
        <w:jc w:val="both"/>
      </w:pPr>
      <w:r>
        <w:rPr>
          <w:rFonts w:ascii="Calibri" w:cs="Calibri" w:eastAsia="Calibri" w:hAnsi="Calibri"/>
          <w:color w:val="444444"/>
          <w:sz w:val="22"/>
          <w:szCs w:val="22"/>
        </w:rPr>
        <w:t xml:space="preserve">The regulatory moment is creating demand for something that doesn't really exist yet as a standalone offering: a systematic AI assurance practice that health plans can point to when regulators ask how they govern their clinical AI systems. Cotiviti is well-positioned to build this. The Pass@1 evaluation framework — which counts correct referrals as successes alongside correct diagnoses, penalizing systems that are accurate but unsafe — is a model for the kind of safety-weighted evaluation methodology this practice should codify. Bias auditing across patient subgroups, hallucination-rate benchmarking, HIPAA-compliant data handling attestations, and SaMD compliance documentation round out the offering. Build it first to de-risk internal deployments; sell it second as a fee-based service to health plan clients who need it.</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Pr>
      <w:r>
        <w:t xml:space="preserve">Bibliography</w:t>
      </w:r>
    </w:p>
    <w:p>
      <w:pPr>
        <w:spacing w:after="70" w:before="70"/>
        <w:ind w:left="720" w:hanging="720"/>
      </w:pPr>
      <w:r>
        <w:rPr>
          <w:rFonts w:ascii="Calibri" w:cs="Calibri" w:eastAsia="Calibri" w:hAnsi="Calibri"/>
          <w:color w:val="444444"/>
          <w:sz w:val="20"/>
          <w:szCs w:val="20"/>
        </w:rPr>
        <w:t xml:space="preserve">Alsentzer, E., et al. (2019). "Publicly available clinical BERT embeddings." 2nd Clinical NLP Workshop at NAACL-HLT. https://doi.org/10.18653/v1/W19-1909</w:t>
      </w:r>
    </w:p>
    <w:p>
      <w:pPr>
        <w:spacing w:after="70" w:before="70"/>
        <w:ind w:left="720" w:hanging="720"/>
      </w:pPr>
      <w:r>
        <w:rPr>
          <w:rFonts w:ascii="Calibri" w:cs="Calibri" w:eastAsia="Calibri" w:hAnsi="Calibri"/>
          <w:color w:val="444444"/>
          <w:sz w:val="20"/>
          <w:szCs w:val="20"/>
        </w:rPr>
        <w:t xml:space="preserve">Beam, A. L., &amp; Kohane, I. S. (2018). "Big data and machine learning in health care." JAMA, 319(13), 1317–1318. https://doi.org/10.1001/jama.2017.18391</w:t>
      </w:r>
    </w:p>
    <w:p>
      <w:pPr>
        <w:spacing w:after="70" w:before="70"/>
        <w:ind w:left="720" w:hanging="720"/>
      </w:pPr>
      <w:r>
        <w:rPr>
          <w:rFonts w:ascii="Calibri" w:cs="Calibri" w:eastAsia="Calibri" w:hAnsi="Calibri"/>
          <w:color w:val="444444"/>
          <w:sz w:val="20"/>
          <w:szCs w:val="20"/>
        </w:rPr>
        <w:t xml:space="preserve">Bommasani, R., et al. (2021). "On the opportunities and risks of foundation models." Stanford CRFM. arXiv:2108.07258. https://arxiv.org/abs/2108.07258</w:t>
      </w:r>
    </w:p>
    <w:p>
      <w:pPr>
        <w:spacing w:after="70" w:before="70"/>
        <w:ind w:left="720" w:hanging="720"/>
      </w:pPr>
      <w:r>
        <w:rPr>
          <w:rFonts w:ascii="Calibri" w:cs="Calibri" w:eastAsia="Calibri" w:hAnsi="Calibri"/>
          <w:color w:val="444444"/>
          <w:sz w:val="20"/>
          <w:szCs w:val="20"/>
        </w:rPr>
        <w:t xml:space="preserve">Fansi Tchango, A., et al. (2022). "DDXPlus: A large-scale dataset for automatic medical diagnosis." NeurIPS 2022. https://arxiv.org/abs/2205.09148</w:t>
      </w:r>
    </w:p>
    <w:p>
      <w:pPr>
        <w:spacing w:after="70" w:before="70"/>
        <w:ind w:left="720" w:hanging="720"/>
      </w:pPr>
      <w:r>
        <w:rPr>
          <w:rFonts w:ascii="Calibri" w:cs="Calibri" w:eastAsia="Calibri" w:hAnsi="Calibri"/>
          <w:color w:val="444444"/>
          <w:sz w:val="20"/>
          <w:szCs w:val="20"/>
        </w:rPr>
        <w:t xml:space="preserve">FDA. (2021). Artificial intelligence/machine learning-based software as a medical device action plan. U.S. Food and Drug Administration. https://www.fda.gov/medical-devices/software-medical-device-samd/artificial-intelligence-and-machine-learning-aiml-enabled-medical-devices</w:t>
      </w:r>
    </w:p>
    <w:p>
      <w:pPr>
        <w:spacing w:after="70" w:before="70"/>
        <w:ind w:left="720" w:hanging="720"/>
      </w:pPr>
      <w:r>
        <w:rPr>
          <w:rFonts w:ascii="Calibri" w:cs="Calibri" w:eastAsia="Calibri" w:hAnsi="Calibri"/>
          <w:color w:val="444444"/>
          <w:sz w:val="20"/>
          <w:szCs w:val="20"/>
        </w:rPr>
        <w:t xml:space="preserve">Hu, E., et al. (2022). "LoRA: Low-rank adaptation of large language models." ICLR 2022. https://arxiv.org/abs/2106.09685</w:t>
      </w:r>
    </w:p>
    <w:p>
      <w:pPr>
        <w:spacing w:after="70" w:before="70"/>
        <w:ind w:left="720" w:hanging="720"/>
      </w:pPr>
      <w:r>
        <w:rPr>
          <w:rFonts w:ascii="Calibri" w:cs="Calibri" w:eastAsia="Calibri" w:hAnsi="Calibri"/>
          <w:color w:val="444444"/>
          <w:sz w:val="20"/>
          <w:szCs w:val="20"/>
        </w:rPr>
        <w:t xml:space="preserve">Johnson, A. E. W., et al. (2023). "MIMIC-IV, a freely accessible electronic health record dataset." Scientific Data, 10(1). https://doi.org/10.1038/s41597-022-01899-x</w:t>
      </w:r>
    </w:p>
    <w:p>
      <w:pPr>
        <w:spacing w:after="70" w:before="70"/>
        <w:ind w:left="720" w:hanging="720"/>
      </w:pPr>
      <w:r>
        <w:rPr>
          <w:rFonts w:ascii="Calibri" w:cs="Calibri" w:eastAsia="Calibri" w:hAnsi="Calibri"/>
          <w:color w:val="444444"/>
          <w:sz w:val="20"/>
          <w:szCs w:val="20"/>
        </w:rPr>
        <w:t xml:space="preserve">Lewis, P., et al. (2020). "Retrieval-augmented generation for knowledge-intensive NLP tasks." NeurIPS 2020. https://arxiv.org/abs/2005.11401</w:t>
      </w:r>
    </w:p>
    <w:p>
      <w:pPr>
        <w:spacing w:after="70" w:before="70"/>
        <w:ind w:left="720" w:hanging="720"/>
      </w:pPr>
      <w:r>
        <w:rPr>
          <w:rFonts w:ascii="Calibri" w:cs="Calibri" w:eastAsia="Calibri" w:hAnsi="Calibri"/>
          <w:color w:val="444444"/>
          <w:sz w:val="20"/>
          <w:szCs w:val="20"/>
        </w:rPr>
        <w:t xml:space="preserve">Meta AI. (2024). Llama 3: Open foundation and fine-tuned chat models. https://llama.meta.com</w:t>
      </w:r>
    </w:p>
    <w:p>
      <w:pPr>
        <w:spacing w:after="70" w:before="70"/>
        <w:ind w:left="720" w:hanging="720"/>
      </w:pPr>
      <w:r>
        <w:rPr>
          <w:rFonts w:ascii="Calibri" w:cs="Calibri" w:eastAsia="Calibri" w:hAnsi="Calibri"/>
          <w:color w:val="444444"/>
          <w:sz w:val="20"/>
          <w:szCs w:val="20"/>
        </w:rPr>
        <w:t xml:space="preserve">Peng, Y., et al. (2019). "Transfer learning in biomedical natural language processing." BioNLP Workshop 2019. https://doi.org/10.18653/v1/W19-5006</w:t>
      </w:r>
    </w:p>
    <w:p>
      <w:pPr>
        <w:spacing w:after="70" w:before="70"/>
        <w:ind w:left="720" w:hanging="720"/>
      </w:pPr>
      <w:r>
        <w:rPr>
          <w:rFonts w:ascii="Calibri" w:cs="Calibri" w:eastAsia="Calibri" w:hAnsi="Calibri"/>
          <w:color w:val="444444"/>
          <w:sz w:val="20"/>
          <w:szCs w:val="20"/>
        </w:rPr>
        <w:t xml:space="preserve">Singhal, K., et al. (2023). "Large language models encode clinical knowledge." Nature, 620, 172–180. https://doi.org/10.1038/s41586-023-06291-2</w:t>
      </w:r>
    </w:p>
    <w:p>
      <w:pPr>
        <w:spacing w:after="70" w:before="70"/>
        <w:ind w:left="720" w:hanging="720"/>
      </w:pPr>
      <w:r>
        <w:rPr>
          <w:rFonts w:ascii="Calibri" w:cs="Calibri" w:eastAsia="Calibri" w:hAnsi="Calibri"/>
          <w:color w:val="444444"/>
          <w:sz w:val="20"/>
          <w:szCs w:val="20"/>
        </w:rPr>
        <w:t xml:space="preserve">Touvron, H., et al. (2023). "Llama 2: Open foundation and fine-tuned chat models." arXiv:2307.09288. https://arxiv.org/abs/2307.09288</w:t>
      </w:r>
    </w:p>
    <w:p>
      <w:pPr>
        <w:spacing w:after="70" w:before="70"/>
        <w:ind w:left="720" w:hanging="720"/>
      </w:pPr>
      <w:r>
        <w:rPr>
          <w:rFonts w:ascii="Calibri" w:cs="Calibri" w:eastAsia="Calibri" w:hAnsi="Calibri"/>
          <w:color w:val="444444"/>
          <w:sz w:val="20"/>
          <w:szCs w:val="20"/>
        </w:rPr>
        <w:t xml:space="preserve">Wornow, M., et al. (2023). "The shaky foundations of large language models and foundation models for electronic health records." npj Digital Medicine, 6(1), 135.</w:t>
      </w:r>
    </w:p>
    <w:p>
      <w:pPr>
        <w:spacing w:after="70" w:before="70"/>
        <w:ind w:left="720" w:hanging="720"/>
      </w:pPr>
      <w:r>
        <w:rPr>
          <w:rFonts w:ascii="Calibri" w:cs="Calibri" w:eastAsia="Calibri" w:hAnsi="Calibri"/>
          <w:color w:val="444444"/>
          <w:sz w:val="20"/>
          <w:szCs w:val="20"/>
        </w:rPr>
        <w:t xml:space="preserve">Zhao, W., et al. (2023). "A survey of large language models." arXiv:2303.18223. https://arxiv.org/abs/2303.18223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BBBBB"/>
        <w:sz w:val="16"/>
        <w:szCs w:val="16"/>
      </w:rPr>
      <w:t xml:space="preserve">Cotiviti Intern Assessment  |  Page </w:t>
    </w:r>
    <w:r>
      <w:rPr>
        <w:rFonts w:ascii="Calibri" w:cs="Calibri" w:eastAsia="Calibri" w:hAnsi="Calibri"/>
        <w:color w:val="BBBBBB"/>
        <w:sz w:val="16"/>
        <w:szCs w:val="16"/>
      </w:rPr>
      <w:fldChar w:fldCharType="begin"/>
      <w:instrText xml:space="preserve">PAGE</w:instrText>
      <w:fldChar w:fldCharType="separate"/>
      <w:fldChar w:fldCharType="end"/>
    </w:r>
    <w:r>
      <w:rPr>
        <w:rFonts w:ascii="Calibri" w:cs="Calibri" w:eastAsia="Calibri" w:hAnsi="Calibri"/>
        <w:color w:val="BBBBBB"/>
        <w:sz w:val="16"/>
        <w:szCs w:val="16"/>
      </w:rPr>
      <w:t xml:space="preserve"> of </w:t>
    </w:r>
    <w:r>
      <w:rPr>
        <w:rFonts w:ascii="Calibri" w:cs="Calibri" w:eastAsia="Calibri" w:hAnsi="Calibri"/>
        <w:color w:val="BBBBB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tabs>
        <w:tab w:val="right" w:pos="9026"/>
      </w:tabs>
    </w:pPr>
    <w:r>
      <w:rPr>
        <w:rFonts w:ascii="Calibri" w:cs="Calibri" w:eastAsia="Calibri" w:hAnsi="Calibri"/>
        <w:color w:val="999999"/>
        <w:sz w:val="18"/>
        <w:szCs w:val="18"/>
      </w:rPr>
      <w:t xml:space="preserve">Clinical Natural Language Technology for Health Care</w:t>
    </w:r>
    <w:r>
      <w:t xml:space="preserve">	</w:t>
    </w:r>
    <w:r>
      <w:rPr>
        <w:rFonts w:ascii="Calibri" w:cs="Calibri" w:eastAsia="Calibri" w:hAnsi="Calibri"/>
        <w:color w:val="999999"/>
        <w:sz w:val="18"/>
        <w:szCs w:val="18"/>
      </w:rPr>
      <w:t xml:space="preserve">Kalpan Shah  ·  Northeastern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2026-06-29T01:18:47.595Z</dcterms:created>
  <dcterms:modified xsi:type="dcterms:W3CDTF">2026-06-29T01:18:47.596Z</dcterms:modified>
</cp:coreProperties>
</file>

<file path=docProps/custom.xml><?xml version="1.0" encoding="utf-8"?>
<Properties xmlns="http://schemas.openxmlformats.org/officeDocument/2006/custom-properties" xmlns:vt="http://schemas.openxmlformats.org/officeDocument/2006/docPropsVTypes"/>
</file>