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Times New Roman" w:cs="Times New Roman"/>
          <w:b/>
          <w:color w:val="0F213D"/>
          <w:sz w:val="48"/>
        </w:rPr>
        <w:t>IRAS — Viva Q&amp;A Preparation</w:t>
      </w:r>
    </w:p>
    <w:p>
      <w:pPr>
        <w:spacing w:before="200" w:after="600"/>
        <w:jc w:val="center"/>
      </w:pPr>
      <w:r>
        <w:rPr>
          <w:rFonts w:ascii="Times New Roman" w:hAnsi="Times New Roman" w:eastAsia="Times New Roman" w:cs="Times New Roman"/>
          <w:i/>
          <w:color w:val="5B6677"/>
          <w:sz w:val="26"/>
        </w:rPr>
        <w:t>Comprehensive Question Bank: Frontend, Backend, Database, AI Service, Model Training, Gemini API</w:t>
      </w:r>
    </w:p>
    <w:p>
      <w:pPr>
        <w:spacing w:after="80"/>
        <w:jc w:val="center"/>
      </w:pPr>
      <w:r>
        <w:rPr>
          <w:rFonts w:ascii="Times New Roman" w:hAnsi="Times New Roman" w:eastAsia="Times New Roman" w:cs="Times New Roman"/>
          <w:color w:val="5B6677"/>
          <w:sz w:val="23"/>
        </w:rPr>
        <w:t>Kalpani D. Kapuge  ·  Student ID 28870</w:t>
      </w:r>
    </w:p>
    <w:p>
      <w:pPr>
        <w:spacing w:after="80"/>
        <w:jc w:val="center"/>
      </w:pPr>
      <w:r>
        <w:rPr>
          <w:rFonts w:ascii="Times New Roman" w:hAnsi="Times New Roman" w:eastAsia="Times New Roman" w:cs="Times New Roman"/>
          <w:color w:val="5B6677"/>
          <w:sz w:val="23"/>
        </w:rPr>
        <w:t>BSc (Hons) in Software Engineering</w:t>
      </w:r>
    </w:p>
    <w:p>
      <w:pPr>
        <w:spacing w:after="80"/>
        <w:jc w:val="center"/>
      </w:pPr>
      <w:r>
        <w:rPr>
          <w:rFonts w:ascii="Times New Roman" w:hAnsi="Times New Roman" w:eastAsia="Times New Roman" w:cs="Times New Roman"/>
          <w:color w:val="5B6677"/>
          <w:sz w:val="23"/>
        </w:rPr>
        <w:t>Faculty of Computing, NSBM Green University</w:t>
      </w:r>
    </w:p>
    <w:p>
      <w:r>
        <w:br w:type="page"/>
      </w:r>
    </w:p>
    <w:p>
      <w:pPr>
        <w:spacing w:after="200" w:line="300" w:lineRule="auto"/>
      </w:pPr>
      <w:r>
        <w:rPr>
          <w:rFonts w:ascii="Times New Roman" w:hAnsi="Times New Roman" w:eastAsia="Times New Roman" w:cs="Times New Roman"/>
          <w:color w:val="222B38"/>
          <w:sz w:val="24"/>
        </w:rPr>
        <w:t>This bank covers every layer of the system a panel is likely to probe. Each answer is written to be spoken directly — confident, specific, first person. Read every entry marked with a warning symbol carefully: these correct two places where the written thesis and the actual running code no longer agree.</w:t>
      </w:r>
    </w:p>
    <w:p>
      <w:pPr>
        <w:keepNext/>
        <w:spacing w:before="400" w:after="160"/>
        <w:pBdr>
          <w:bottom w:val="single" w:sz="8" w:space="4" w:color="0F213D"/>
        </w:pBdr>
      </w:pPr>
      <w:r>
        <w:rPr>
          <w:rFonts w:ascii="Times New Roman" w:hAnsi="Times New Roman" w:eastAsia="Times New Roman" w:cs="Times New Roman"/>
          <w:b/>
          <w:color w:val="0F213D"/>
          <w:sz w:val="34"/>
        </w:rPr>
        <w:t>1. General / Project Overview</w:t>
      </w:r>
    </w:p>
    <w:p>
      <w:pPr>
        <w:spacing w:before="200" w:after="40"/>
      </w:pPr>
      <w:r>
        <w:rPr>
          <w:rFonts w:ascii="Times New Roman" w:hAnsi="Times New Roman" w:eastAsia="Times New Roman" w:cs="Times New Roman"/>
          <w:b/>
          <w:color w:val="0F213D"/>
          <w:sz w:val="25"/>
        </w:rPr>
        <w:t>Q1.  What is IRAS and what problem does it solve?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IRAS is an Intelligent Recruitment Automation System — a web platform that automates the full recruitment lifecycle, from AI-assisted job description creation through resume parsing, candidate ranking, skill-gap analysis, CV generation, interview scheduling, and feedback. It solves the problem that most existing tools only automate one piece of recruitment (just screening, or just chatbots) — IRAS integrates all of these into a single, role-based, explainable platform for Candidates, Employers and Administrators.</w:t>
      </w:r>
    </w:p>
    <w:p>
      <w:pPr>
        <w:spacing w:before="200" w:after="40"/>
      </w:pPr>
      <w:r>
        <w:rPr>
          <w:rFonts w:ascii="Times New Roman" w:hAnsi="Times New Roman" w:eastAsia="Times New Roman" w:cs="Times New Roman"/>
          <w:b/>
          <w:color w:val="0F213D"/>
          <w:sz w:val="25"/>
        </w:rPr>
        <w:t>Q2.  Who are the system's users / actors?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Three human roles interact directly with the system — Candidate, Employer, and Administrator — each with a separate portal gated by role-based JWT claims. A fourth, non-human actor is the AI Service, which supports several use cases (resume parsing, ranking, generation) without being a person who logs in.</w:t>
      </w:r>
    </w:p>
    <w:p>
      <w:pPr>
        <w:spacing w:before="200" w:after="40"/>
      </w:pPr>
      <w:r>
        <w:rPr>
          <w:rFonts w:ascii="Times New Roman" w:hAnsi="Times New Roman" w:eastAsia="Times New Roman" w:cs="Times New Roman"/>
          <w:b/>
          <w:color w:val="0F213D"/>
          <w:sz w:val="25"/>
        </w:rPr>
        <w:t>Q3.  What makes IRAS different from an ordinary job board or ATS?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Two things: first, every AI-influenced decision is explainable — scores are shown as a breakdown, not a single number, and every AI action is written to an audit log. Second, no AI output is ever auto-published or auto-sent — job descriptions, feedback, and evidence-review decisions all pass through either an explicit human approval step or a confidence threshold before they take effect.</w:t>
      </w:r>
    </w:p>
    <w:p>
      <w:pPr>
        <w:spacing w:before="200" w:after="40"/>
      </w:pPr>
      <w:r>
        <w:rPr>
          <w:rFonts w:ascii="Times New Roman" w:hAnsi="Times New Roman" w:eastAsia="Times New Roman" w:cs="Times New Roman"/>
          <w:b/>
          <w:color w:val="0F213D"/>
          <w:sz w:val="25"/>
        </w:rPr>
        <w:t>Q4.  What methodology did you follow for this research?</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 used Design Science Research Methodology (DSRM), because the goal was to design, build and evaluate a software artifact, not just study a phenomenon. The overarching paradigm was pragmatism with a mixed-methods approach — qualitative evidence from the literature review and design decisions, quantitative evidence from the model evaluation and requirement traceability.</w:t>
      </w:r>
    </w:p>
    <w:p>
      <w:pPr>
        <w:spacing w:before="200" w:after="40"/>
      </w:pPr>
      <w:r>
        <w:rPr>
          <w:rFonts w:ascii="Times New Roman" w:hAnsi="Times New Roman" w:eastAsia="Times New Roman" w:cs="Times New Roman"/>
          <w:b/>
          <w:color w:val="0F213D"/>
          <w:sz w:val="25"/>
        </w:rPr>
        <w:t>Q5.  How is the project structured at a high level?</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There are three top-level codebases: the ASP.NET Core backend (four layered projects — API, Application, Domain, Infrastructure), the React/TypeScript frontend, and a separate Python FastAPI AI microservice. The backend and frontend communicate over a REST API secured by JWT; the backend and the AI service communicate over their own internal HTTP contract.</w:t>
      </w:r>
    </w:p>
    <w:p>
      <w:pPr>
        <w:spacing w:before="200" w:after="40"/>
      </w:pPr>
      <w:r>
        <w:rPr>
          <w:rFonts w:ascii="Times New Roman" w:hAnsi="Times New Roman" w:eastAsia="Times New Roman" w:cs="Times New Roman"/>
          <w:b/>
          <w:color w:val="0F213D"/>
          <w:sz w:val="25"/>
        </w:rPr>
        <w:t>Q6.  What are the three main workflows in the system?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Candidate workflow (register → profile → resume upload → job search → apply → view match score/skill gap → improvement plan → CV → interview → feedback), Employer workflow (register → company profile → AI-assisted job posting → moderation → ranked applicants → interview → feedback), and Admin workflow (user management → job moderation → skill taxonomy → knowledge base → audit logs → AI health monitoring → reports).</w:t>
      </w:r>
    </w:p>
    <w:p>
      <w:pPr>
        <w:spacing w:before="200" w:after="40"/>
      </w:pPr>
      <w:r>
        <w:rPr>
          <w:rFonts w:ascii="Times New Roman" w:hAnsi="Times New Roman" w:eastAsia="Times New Roman" w:cs="Times New Roman"/>
          <w:b/>
          <w:color w:val="0F213D"/>
          <w:sz w:val="25"/>
        </w:rPr>
        <w:t>Q7.  What is the single biggest technical contribution of this project?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weighted, multi-signal, explainable scoring pipeline that combines a locally-computed taxonomy-based skill match, an AI-service-computed semantic similarity score, a trained ML fit-classifier probability, and an optional assessment score into one configurable, auditable Total Score — rather than either pure keyword matching or an opaque single-model prediction.</w:t>
      </w:r>
    </w:p>
    <w:p>
      <w:pPr>
        <w:spacing w:before="200" w:after="40"/>
      </w:pPr>
      <w:r>
        <w:rPr>
          <w:rFonts w:ascii="Times New Roman" w:hAnsi="Times New Roman" w:eastAsia="Times New Roman" w:cs="Times New Roman"/>
          <w:b/>
          <w:color w:val="0F213D"/>
          <w:sz w:val="25"/>
        </w:rPr>
        <w:t>Q8.  Why did you choose a layered monolith instead of microservices for the whole system?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Because the domain doesn't need separate read/write paths or independent scaling for most of its features — a single, well-tested API is simpler to build and reason about for a project of this size. The one place I did introduce a service boundary was the AI workload, because it has a genuinely different technology stack, different scaling behaviour, and different failure modes from the rest of the system.</w:t>
      </w:r>
    </w:p>
    <w:p>
      <w:pPr>
        <w:spacing w:before="200" w:after="40"/>
      </w:pPr>
      <w:r>
        <w:rPr>
          <w:rFonts w:ascii="Times New Roman" w:hAnsi="Times New Roman" w:eastAsia="Times New Roman" w:cs="Times New Roman"/>
          <w:b/>
          <w:color w:val="0F213D"/>
          <w:sz w:val="25"/>
        </w:rPr>
        <w:t>Q9.  What is out of scope for this project?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Full enterprise HR management (payroll, attendance), video-interview analysis, psychometric testing, legal contract generation, and fully autonomous hiring decisions without human involvement are all explicitly out of scope — IRAS is a decision-support platform for the IT/Software Engineering recruitment domain, not a complete commercial HR suite.</w:t>
      </w:r>
    </w:p>
    <w:p>
      <w:pPr>
        <w:spacing w:before="200" w:after="40"/>
      </w:pPr>
      <w:r>
        <w:rPr>
          <w:rFonts w:ascii="Times New Roman" w:hAnsi="Times New Roman" w:eastAsia="Times New Roman" w:cs="Times New Roman"/>
          <w:b/>
          <w:color w:val="0F213D"/>
          <w:sz w:val="25"/>
        </w:rPr>
        <w:t>Q10.  How would you demo the system end-to-end in five minutes?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Register as an employer, use AI to draft and publish a job; register as a candidate, upload a resume, apply, and show the match-score breakdown and skill gap; log in as admin to show the ranked applicant list, the audit log, and AI service health monitoring — that covers all three roles and the core scoring pipeline in one pass.</w:t>
      </w:r>
    </w:p>
    <w:p>
      <w:pPr>
        <w:keepNext/>
        <w:spacing w:before="400" w:after="160"/>
        <w:pBdr>
          <w:bottom w:val="single" w:sz="8" w:space="4" w:color="0F213D"/>
        </w:pBdr>
      </w:pPr>
      <w:r>
        <w:rPr>
          <w:rFonts w:ascii="Times New Roman" w:hAnsi="Times New Roman" w:eastAsia="Times New Roman" w:cs="Times New Roman"/>
          <w:b/>
          <w:color w:val="0F213D"/>
          <w:sz w:val="34"/>
        </w:rPr>
        <w:t>2. Frontend (React / TypeScript)</w:t>
      </w:r>
    </w:p>
    <w:p>
      <w:pPr>
        <w:spacing w:before="200" w:after="40"/>
      </w:pPr>
      <w:r>
        <w:rPr>
          <w:rFonts w:ascii="Times New Roman" w:hAnsi="Times New Roman" w:eastAsia="Times New Roman" w:cs="Times New Roman"/>
          <w:b/>
          <w:color w:val="0F213D"/>
          <w:sz w:val="25"/>
        </w:rPr>
        <w:t>Q11.  What frontend stack did you use, and why?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React 18 with TypeScript, built with Vite. React's component model let me reuse UI pieces across three very different portals (Candidate, Employer, Admin); TypeScript catches shape mismatches against the backend's C# DTOs at compile time rather than at runtime; Vite gives a much faster dev server and build than older bundlers like Webpack.</w:t>
      </w:r>
    </w:p>
    <w:p>
      <w:pPr>
        <w:spacing w:before="200" w:after="40"/>
      </w:pPr>
      <w:r>
        <w:rPr>
          <w:rFonts w:ascii="Times New Roman" w:hAnsi="Times New Roman" w:eastAsia="Times New Roman" w:cs="Times New Roman"/>
          <w:b/>
          <w:color w:val="0F213D"/>
          <w:sz w:val="25"/>
        </w:rPr>
        <w:t>Q12.  How is state managed on the frontend?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Zustand, a lightweight state-management library — much less boilerplate than Redux — used for things like the authenticated user and auth token. Most page-level data (job lists, applications) is just local component state fetched via axios calls rather than global state, since it doesn't need to be shared across unrelated screens.</w:t>
      </w:r>
    </w:p>
    <w:p>
      <w:pPr>
        <w:spacing w:before="200" w:after="40"/>
      </w:pPr>
      <w:r>
        <w:rPr>
          <w:rFonts w:ascii="Times New Roman" w:hAnsi="Times New Roman" w:eastAsia="Times New Roman" w:cs="Times New Roman"/>
          <w:b/>
          <w:color w:val="0F213D"/>
          <w:sz w:val="25"/>
        </w:rPr>
        <w:t>Q13.  How does routing and role-based access work on the frontend?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react-router-dom defines three separate route trees, one per role. When a user logs in, the JWT's role claim is decoded and used to decide which route tree renders and which sidebar navigation to show; a Candidate can never navigate into an Admin-only route even by typing the URL directly, because the route guard checks the decoded role.</w:t>
      </w:r>
    </w:p>
    <w:p>
      <w:pPr>
        <w:spacing w:before="200" w:after="40"/>
      </w:pPr>
      <w:r>
        <w:rPr>
          <w:rFonts w:ascii="Times New Roman" w:hAnsi="Times New Roman" w:eastAsia="Times New Roman" w:cs="Times New Roman"/>
          <w:b/>
          <w:color w:val="0F213D"/>
          <w:sz w:val="25"/>
        </w:rPr>
        <w:t>Q14.  How does the frontend talk to the backend?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Through axios, calling the ASP.NET Core Web API over HTTPS with the JWT attached as a Bearer token in the Authorization header. Request and response shapes are typed in TypeScript to mirror the backend's DTOs.</w:t>
      </w:r>
    </w:p>
    <w:p>
      <w:pPr>
        <w:spacing w:before="200" w:after="40"/>
      </w:pPr>
      <w:r>
        <w:rPr>
          <w:rFonts w:ascii="Times New Roman" w:hAnsi="Times New Roman" w:eastAsia="Times New Roman" w:cs="Times New Roman"/>
          <w:b/>
          <w:color w:val="0F213D"/>
          <w:sz w:val="25"/>
        </w:rPr>
        <w:t>Q15.  What UI component library did you build on?</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Radix UI primitives (accessible, unstyled components — dialogs, dropdowns, tabs, tooltips) styled with Tailwind CSS, following the shadcn/ui pattern. This gives accessible behaviour (keyboard navigation, focus management) for free while keeping full control over the visual design via Tailwind's utility classes.</w:t>
      </w:r>
    </w:p>
    <w:p>
      <w:pPr>
        <w:spacing w:before="200" w:after="40"/>
      </w:pPr>
      <w:r>
        <w:rPr>
          <w:rFonts w:ascii="Times New Roman" w:hAnsi="Times New Roman" w:eastAsia="Times New Roman" w:cs="Times New Roman"/>
          <w:b/>
          <w:color w:val="0F213D"/>
          <w:sz w:val="25"/>
        </w:rPr>
        <w:t>Q16.  How is form validation done?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zod schemas on the frontend for client-side validation before a request is even sent, backed up by the same validation rules enforced again on the backend — client-side validation is for user experience, server-side validation is the actual security boundary.</w:t>
      </w:r>
    </w:p>
    <w:p>
      <w:pPr>
        <w:spacing w:before="200" w:after="40"/>
      </w:pPr>
      <w:r>
        <w:rPr>
          <w:rFonts w:ascii="Times New Roman" w:hAnsi="Times New Roman" w:eastAsia="Times New Roman" w:cs="Times New Roman"/>
          <w:b/>
          <w:color w:val="0F213D"/>
          <w:sz w:val="25"/>
        </w:rPr>
        <w:t>Q17.  How do charts/visualizations get rendered (e.g. admin dashboard)?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recharts, a React charting library, for things like the applications-by-status bar chart and the top-missing-skills chart on the admin dashboard.</w:t>
      </w:r>
    </w:p>
    <w:p>
      <w:pPr>
        <w:spacing w:before="200" w:after="40"/>
      </w:pPr>
      <w:r>
        <w:rPr>
          <w:rFonts w:ascii="Times New Roman" w:hAnsi="Times New Roman" w:eastAsia="Times New Roman" w:cs="Times New Roman"/>
          <w:b/>
          <w:color w:val="0F213D"/>
          <w:sz w:val="25"/>
        </w:rPr>
        <w:t>Q18.  How are toast notifications (success/error messages) implemented?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the sonner library, which renders lightweight, accessible toast notifications — used for things like “Job published successfully” or API error messages.</w:t>
      </w:r>
    </w:p>
    <w:p>
      <w:pPr>
        <w:spacing w:before="200" w:after="40"/>
      </w:pPr>
      <w:r>
        <w:rPr>
          <w:rFonts w:ascii="Times New Roman" w:hAnsi="Times New Roman" w:eastAsia="Times New Roman" w:cs="Times New Roman"/>
          <w:b/>
          <w:color w:val="0F213D"/>
          <w:sz w:val="25"/>
        </w:rPr>
        <w:t>Q19.  Is the frontend responsive / mobile-friendly?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Yes — Tailwind's responsive utility classes are used throughout, and the design was tested at different viewport widths; a secondary device was listed as an optional resource specifically for this kind of validation.</w:t>
      </w:r>
    </w:p>
    <w:p>
      <w:pPr>
        <w:spacing w:before="200" w:after="40"/>
      </w:pPr>
      <w:r>
        <w:rPr>
          <w:rFonts w:ascii="Times New Roman" w:hAnsi="Times New Roman" w:eastAsia="Times New Roman" w:cs="Times New Roman"/>
          <w:b/>
          <w:color w:val="0F213D"/>
          <w:sz w:val="25"/>
        </w:rPr>
        <w:t>Q20.  What would you change about the frontend architecture if you had more time?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I'd introduce a shared API-client generation step (e.g. from the backend's OpenAPI/Swagger spec) so the TypeScript DTOs are generated automatically instead of hand-maintained, removing the last manual point where frontend and backend types could still silently drift apart.</w:t>
      </w:r>
    </w:p>
    <w:p>
      <w:pPr>
        <w:keepNext/>
        <w:spacing w:before="400" w:after="160"/>
        <w:pBdr>
          <w:bottom w:val="single" w:sz="8" w:space="4" w:color="0F213D"/>
        </w:pBdr>
      </w:pPr>
      <w:r>
        <w:rPr>
          <w:rFonts w:ascii="Times New Roman" w:hAnsi="Times New Roman" w:eastAsia="Times New Roman" w:cs="Times New Roman"/>
          <w:b/>
          <w:color w:val="0F213D"/>
          <w:sz w:val="34"/>
        </w:rPr>
        <w:t>3. Backend / API / Architecture</w:t>
      </w:r>
    </w:p>
    <w:p>
      <w:pPr>
        <w:spacing w:before="200" w:after="40"/>
      </w:pPr>
      <w:r>
        <w:rPr>
          <w:rFonts w:ascii="Times New Roman" w:hAnsi="Times New Roman" w:eastAsia="Times New Roman" w:cs="Times New Roman"/>
          <w:b/>
          <w:color w:val="0F213D"/>
          <w:sz w:val="25"/>
        </w:rPr>
        <w:t>Q21.  Why ASP.NET Core / C# for the backend?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Strong static typing catches type mismatches in the scoring formula and elsewhere at compile time; Entity Framework Core gives first-class, well-supported ORM tooling; and async/await is a natural fit for the I/O-heavy operations this system does constantly — calling the AI microservice, calling Gemini, hitting the database.</w:t>
      </w:r>
    </w:p>
    <w:p>
      <w:pPr>
        <w:spacing w:before="200" w:after="40"/>
      </w:pPr>
      <w:r>
        <w:rPr>
          <w:rFonts w:ascii="Times New Roman" w:hAnsi="Times New Roman" w:eastAsia="Times New Roman" w:cs="Times New Roman"/>
          <w:b/>
          <w:color w:val="0F213D"/>
          <w:sz w:val="25"/>
        </w:rPr>
        <w:t>Q22.  Describe the four backend projects and their dependency direction.</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IRAS.Domain (entities, no dependencies), IRAS.Infrastructure (database access and external clients, depends on Domain), IRAS.Application (business services, depends on Domain and Infrastructure), and IRAS.API (controllers, JWT auth, Swagger, depends on Application and Infrastructure). The project references themselves enforce this direction — Domain can never accidentally depend on the database layer.</w:t>
      </w:r>
    </w:p>
    <w:p>
      <w:pPr>
        <w:spacing w:before="200" w:after="40"/>
      </w:pPr>
      <w:r>
        <w:rPr>
          <w:rFonts w:ascii="Times New Roman" w:hAnsi="Times New Roman" w:eastAsia="Times New Roman" w:cs="Times New Roman"/>
          <w:b/>
          <w:color w:val="0F213D"/>
          <w:sz w:val="25"/>
        </w:rPr>
        <w:t>Q23.  How does authentication work end-to-end?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 user registers or logs in; the password is verified against a BCrypt hash (or, for Google sign-in, verified via Google.Apis.Auth); on success, the server issues a JWT bearer token carrying the user's id and role as claims. Every subsequent request carries that token in the Authorization header, and ASP.NET Core's authentication middleware validates its signature and expiry before any controller code runs.</w:t>
      </w:r>
    </w:p>
    <w:p>
      <w:pPr>
        <w:spacing w:before="200" w:after="40"/>
      </w:pPr>
      <w:r>
        <w:rPr>
          <w:rFonts w:ascii="Times New Roman" w:hAnsi="Times New Roman" w:eastAsia="Times New Roman" w:cs="Times New Roman"/>
          <w:b/>
          <w:color w:val="0F213D"/>
          <w:sz w:val="25"/>
        </w:rPr>
        <w:t>Q24.  How is authorization enforced per role?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Controllers and endpoints are decorated with role requirements (e.g. [Authorize(Roles = "Admin")]), checked against the role claim in the validated JWT. A Candidate's token simply doesn't carry the Admin claim, so any attempt to call an Admin-only endpoint is rejected before the controller method executes.</w:t>
      </w:r>
    </w:p>
    <w:p>
      <w:pPr>
        <w:spacing w:before="200" w:after="40"/>
      </w:pPr>
      <w:r>
        <w:rPr>
          <w:rFonts w:ascii="Times New Roman" w:hAnsi="Times New Roman" w:eastAsia="Times New Roman" w:cs="Times New Roman"/>
          <w:b/>
          <w:color w:val="0F213D"/>
          <w:sz w:val="25"/>
        </w:rPr>
        <w:t>Q25.  How does the backend talk to the Python AI service?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Through a typed HttpClient (IAiServiceClient / AiServiceClient), calling the AI service's own REST endpoints (/api/v1/parse-resume, /api/v1/rank) with a configured base URL and timeout. Every call is wrapped so a timeout, non-2xx response, or malformed payload is caught and turned into a typed result object rather than an unhandled exception — this is what lets the system degrade gracefully to skill-match-only scoring if the AI service is down.</w:t>
      </w:r>
    </w:p>
    <w:p>
      <w:pPr>
        <w:spacing w:before="200" w:after="40"/>
      </w:pPr>
      <w:r>
        <w:rPr>
          <w:rFonts w:ascii="Times New Roman" w:hAnsi="Times New Roman" w:eastAsia="Times New Roman" w:cs="Times New Roman"/>
          <w:b/>
          <w:color w:val="0F213D"/>
          <w:sz w:val="25"/>
        </w:rPr>
        <w:t>Q26.  Why is there a separate Python microservice instead of doing everything in .NET?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AI workload — sentence embeddings, a trained scikit-learn/XGBoost classifier — sits in an ecosystem that's far more mature in Python than in .NET. Isolating it as its own service also means it can be redeployed, retrained, or restarted independently of the core API, and if it goes down the API can still serve requests in a degraded mode.</w:t>
      </w:r>
    </w:p>
    <w:p>
      <w:pPr>
        <w:spacing w:before="200" w:after="40"/>
      </w:pPr>
      <w:r>
        <w:rPr>
          <w:rFonts w:ascii="Times New Roman" w:hAnsi="Times New Roman" w:eastAsia="Times New Roman" w:cs="Times New Roman"/>
          <w:b/>
          <w:color w:val="0F213D"/>
          <w:sz w:val="25"/>
        </w:rPr>
        <w:t>Q27.  How is the CV PDF actually generated?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QuestPDF, a C# PDF-generation library, driven by the candidate's structured profile data (selected education, experience, skills, certifications) and a chosen template. It even embeds the same Roboto font files the web frontend uses, so the downloaded PDF's typography matches the live preview exactly.</w:t>
      </w:r>
    </w:p>
    <w:p>
      <w:pPr>
        <w:spacing w:before="200" w:after="40"/>
      </w:pPr>
      <w:r>
        <w:rPr>
          <w:rFonts w:ascii="Times New Roman" w:hAnsi="Times New Roman" w:eastAsia="Times New Roman" w:cs="Times New Roman"/>
          <w:b/>
          <w:color w:val="0F213D"/>
          <w:sz w:val="25"/>
        </w:rPr>
        <w:t>Q28.  What HTTP client pattern is used for every AI-generation feature (JD, feedback, chatbot, etc.)?</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Each feature is defined behind a small interface (IJdGenerator, IFeedbackGenerator, IChatResponder, etc.) with two implementations: a Gemini-backed one (a typed HttpClient calling Gemini's REST API) and a deterministic Template-based one. The calling service tries the Gemini implementation first and catches failures to fall back to the Template implementation, so a Gemini outage degrades quality but never blocks the feature.</w:t>
      </w:r>
    </w:p>
    <w:p>
      <w:pPr>
        <w:spacing w:before="200" w:after="40"/>
      </w:pPr>
      <w:r>
        <w:rPr>
          <w:rFonts w:ascii="Times New Roman" w:hAnsi="Times New Roman" w:eastAsia="Times New Roman" w:cs="Times New Roman"/>
          <w:b/>
          <w:color w:val="0F213D"/>
          <w:sz w:val="25"/>
        </w:rPr>
        <w:t>Q29.  How are notifications currently sent?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Through an IEmailSender abstraction; the current registered implementation is LogEmailSender, a development-safe default that just logs what would have been sent rather than requiring real SMTP credentials. The interface is designed so a real provider (SMTP or SendGrid) can be swapped in later without touching any calling code.</w:t>
      </w:r>
    </w:p>
    <w:p>
      <w:pPr>
        <w:spacing w:before="200" w:after="40"/>
      </w:pPr>
      <w:r>
        <w:rPr>
          <w:rFonts w:ascii="Times New Roman" w:hAnsi="Times New Roman" w:eastAsia="Times New Roman" w:cs="Times New Roman"/>
          <w:b/>
          <w:color w:val="0F213D"/>
          <w:sz w:val="25"/>
        </w:rPr>
        <w:t>Q30.  Why does ScoringOptions use ValidateOnStart()?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So that a misconfigured scoring weight fails the application at startup with a clear error, rather than silently producing wrong scores at runtime that would be much harder to notice and diagnose.</w:t>
      </w:r>
    </w:p>
    <w:p>
      <w:pPr>
        <w:spacing w:before="200" w:after="40"/>
      </w:pPr>
      <w:r>
        <w:rPr>
          <w:rFonts w:ascii="Times New Roman" w:hAnsi="Times New Roman" w:eastAsia="Times New Roman" w:cs="Times New Roman"/>
          <w:b/>
          <w:color w:val="0F213D"/>
          <w:sz w:val="25"/>
        </w:rPr>
        <w:t>Q31.  What NuGet packages for Anthropic and OpenAI are referenced — are they actually used?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No — they're not currently wired into dependency injection anywhere. The generator interfaces (IJdGenerator etc.) are designed so a Claude- or GPT-backed implementation could be added later as a drop-in alternative to the Gemini implementation; those packages are there for that future extensibility, but the only LLM actually active in the running system today is Gemini.</w:t>
      </w:r>
    </w:p>
    <w:p>
      <w:pPr>
        <w:spacing w:before="200" w:after="40"/>
      </w:pPr>
      <w:r>
        <w:rPr>
          <w:rFonts w:ascii="Times New Roman" w:hAnsi="Times New Roman" w:eastAsia="Times New Roman" w:cs="Times New Roman"/>
          <w:b/>
          <w:color w:val="0F213D"/>
          <w:sz w:val="25"/>
        </w:rPr>
        <w:t>Q32.  How is the API documented and manually testable?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Via Swagger/OpenAPI, generated automatically by Swashbuckle from the controller and DTO definitions — this gives an interactive page where every endpoint can be inspected and called directly from the browser during development and testing.</w:t>
      </w:r>
    </w:p>
    <w:p>
      <w:pPr>
        <w:keepNext/>
        <w:spacing w:before="400" w:after="160"/>
        <w:pBdr>
          <w:bottom w:val="single" w:sz="8" w:space="4" w:color="0F213D"/>
        </w:pBdr>
      </w:pPr>
      <w:r>
        <w:rPr>
          <w:rFonts w:ascii="Times New Roman" w:hAnsi="Times New Roman" w:eastAsia="Times New Roman" w:cs="Times New Roman"/>
          <w:b/>
          <w:color w:val="0F213D"/>
          <w:sz w:val="34"/>
        </w:rPr>
        <w:t>4. Database</w:t>
      </w:r>
    </w:p>
    <w:p>
      <w:pPr>
        <w:spacing w:before="200" w:after="40"/>
      </w:pPr>
      <w:r>
        <w:rPr>
          <w:rFonts w:ascii="Times New Roman" w:hAnsi="Times New Roman" w:eastAsia="Times New Roman" w:cs="Times New Roman"/>
          <w:b/>
          <w:color w:val="0F213D"/>
          <w:sz w:val="25"/>
        </w:rPr>
        <w:t>Q33.  What database does the system actually use?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SQL Server, accessed through Entity Framework Core with the Microsoft.EntityFrameworkCore.SqlServer provider, and code-first migrations. (Earlier drafts of the written thesis mistakenly say PostgreSQL — that's a documentation error I've corrected; the actual, running code has always used SQL Server.)</w:t>
      </w:r>
    </w:p>
    <w:p>
      <w:pPr>
        <w:spacing w:before="200" w:after="40"/>
      </w:pPr>
      <w:r>
        <w:rPr>
          <w:rFonts w:ascii="Times New Roman" w:hAnsi="Times New Roman" w:eastAsia="Times New Roman" w:cs="Times New Roman"/>
          <w:b/>
          <w:color w:val="0F213D"/>
          <w:sz w:val="25"/>
        </w:rPr>
        <w:t>Q34.  How many entities/tables does the schema have, and how are they organized?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36 persistent entities, organized into 8 module-based schemas — Identity, Candidate Profile &amp; CV, Skills &amp; Development, Employer &amp; Jobs, Applications &amp; Interviews, Assessments, Engagement, and Admin &amp; Governance — via a dedicated “OrganizeTablesBySchema” migration.</w:t>
      </w:r>
    </w:p>
    <w:p>
      <w:pPr>
        <w:spacing w:before="200" w:after="40"/>
      </w:pPr>
      <w:r>
        <w:rPr>
          <w:rFonts w:ascii="Times New Roman" w:hAnsi="Times New Roman" w:eastAsia="Times New Roman" w:cs="Times New Roman"/>
          <w:b/>
          <w:color w:val="0F213D"/>
          <w:sz w:val="25"/>
        </w:rPr>
        <w:t>Q35.  What are the weak entities in your model, and why are they weak?</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CandidateSkill, JobRequiredSkill, and CandidateTargetSkill — each is identified entirely by the composite of its two foreign keys (e.g. CandidateId + SkillId) rather than having its own surrogate primary key, because they're really annotated many-to-many relationships (carrying a proficiency level, weight, or approval status) rather than independent entities.</w:t>
      </w:r>
    </w:p>
    <w:p>
      <w:pPr>
        <w:spacing w:before="200" w:after="40"/>
      </w:pPr>
      <w:r>
        <w:rPr>
          <w:rFonts w:ascii="Times New Roman" w:hAnsi="Times New Roman" w:eastAsia="Times New Roman" w:cs="Times New Roman"/>
          <w:b/>
          <w:color w:val="0F213D"/>
          <w:sz w:val="25"/>
        </w:rPr>
        <w:t>Q36.  Explain the ISA (specialization) relationship in your data model.</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User entity specializes into CandidateProfile and EmployerProfile — disjoint, because one account is either a candidate or an employer, never both, and partial, because an Administrator account is neither subtype. This is modelled as a one-to-one relationship at the database level (each profile table has UserId as both its primary key and a foreign key to Users).</w:t>
      </w:r>
    </w:p>
    <w:p>
      <w:pPr>
        <w:spacing w:before="200" w:after="40"/>
      </w:pPr>
      <w:r>
        <w:rPr>
          <w:rFonts w:ascii="Times New Roman" w:hAnsi="Times New Roman" w:eastAsia="Times New Roman" w:cs="Times New Roman"/>
          <w:b/>
          <w:color w:val="0F213D"/>
          <w:sz w:val="25"/>
        </w:rPr>
        <w:t>Q37.  How do migrations work, and how many have you applied?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EF Core generates a migration whenever the model changes; each migration is a C# class with Up()/Down() methods that translate to SQL DDL. There are 24 migrations applied so far, evolving the schema incrementally from the initial create through features like CV builder, skill development, assessments, and the recent AddUserAuthProvider migration for Google sign-in.</w:t>
      </w:r>
    </w:p>
    <w:p>
      <w:pPr>
        <w:spacing w:before="200" w:after="40"/>
      </w:pPr>
      <w:r>
        <w:rPr>
          <w:rFonts w:ascii="Times New Roman" w:hAnsi="Times New Roman" w:eastAsia="Times New Roman" w:cs="Times New Roman"/>
          <w:b/>
          <w:color w:val="0F213D"/>
          <w:sz w:val="25"/>
        </w:rPr>
        <w:t>Q38.  How does the Application entity's lifecycle work, and is it enforced anywhere besides the UI?</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Application moves through Applied → Screened → Shortlisted → Interview → then Hired, Rejected, or Withdrawn. This state machine is enforced in the ApplicationService (application layer), not left to the client — so no API request can jump an application straight to Hired without passing through Interview, regardless of what the frontend sends.</w:t>
      </w:r>
    </w:p>
    <w:p>
      <w:pPr>
        <w:spacing w:before="200" w:after="40"/>
      </w:pPr>
      <w:r>
        <w:rPr>
          <w:rFonts w:ascii="Times New Roman" w:hAnsi="Times New Roman" w:eastAsia="Times New Roman" w:cs="Times New Roman"/>
          <w:b/>
          <w:color w:val="0F213D"/>
          <w:sz w:val="25"/>
        </w:rPr>
        <w:t>Q39.  Where are resumes, CVs, and other files actually stored — in the database?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No — only metadata and a reference URL/path live in the database. The actual binary files live in Supabase Storage (or local disk in a fallback configuration), accessed through a custom HTTP-based file storage client, keeping large binary blobs out of the relational database.</w:t>
      </w:r>
    </w:p>
    <w:p>
      <w:pPr>
        <w:spacing w:before="200" w:after="40"/>
      </w:pPr>
      <w:r>
        <w:rPr>
          <w:rFonts w:ascii="Times New Roman" w:hAnsi="Times New Roman" w:eastAsia="Times New Roman" w:cs="Times New Roman"/>
          <w:b/>
          <w:color w:val="0F213D"/>
          <w:sz w:val="25"/>
        </w:rPr>
        <w:t>Q40.  How does the skill taxonomy prevent keyword-mismatch problems in the database model?</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Skill and SkillAlias entities let multiple surface forms (“JS”, “JavaScript”) map to one canonical skill row, so matching is done against a normalized skill_id rather than a raw string, avoiding the “Node.js vs server-side JavaScript” mismatch problem described in the literature review.</w:t>
      </w:r>
    </w:p>
    <w:p>
      <w:pPr>
        <w:spacing w:before="200" w:after="40"/>
      </w:pPr>
      <w:r>
        <w:rPr>
          <w:rFonts w:ascii="Times New Roman" w:hAnsi="Times New Roman" w:eastAsia="Times New Roman" w:cs="Times New Roman"/>
          <w:b/>
          <w:color w:val="0F213D"/>
          <w:sz w:val="25"/>
        </w:rPr>
        <w:t>Q41.  Why crow's-foot notation specifically for your ER diagram?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Because it's the more common convention for database design specifically, and it makes weak entities and the ISA specialization visually explicit in a way plain UML class-diagram multiplicities don't.</w:t>
      </w:r>
    </w:p>
    <w:p>
      <w:pPr>
        <w:spacing w:before="200" w:after="40"/>
      </w:pPr>
      <w:r>
        <w:rPr>
          <w:rFonts w:ascii="Times New Roman" w:hAnsi="Times New Roman" w:eastAsia="Times New Roman" w:cs="Times New Roman"/>
          <w:b/>
          <w:color w:val="0F213D"/>
          <w:sz w:val="25"/>
        </w:rPr>
        <w:t>Q42.  Why is Supabase mentioned in your thesis at all if it's not the database?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Supabase is genuinely part of the system — just for a narrower role than the thesis text currently states. It's the object/file storage provider (resumes, CVs, evidence files, company logos), accessed via a custom REST client, completely separate from the actual relational database, which is SQL Server.</w:t>
      </w:r>
    </w:p>
    <w:p>
      <w:pPr>
        <w:keepNext/>
        <w:spacing w:before="400" w:after="160"/>
        <w:pBdr>
          <w:bottom w:val="single" w:sz="8" w:space="4" w:color="0F213D"/>
        </w:pBdr>
      </w:pPr>
      <w:r>
        <w:rPr>
          <w:rFonts w:ascii="Times New Roman" w:hAnsi="Times New Roman" w:eastAsia="Times New Roman" w:cs="Times New Roman"/>
          <w:b/>
          <w:color w:val="0F213D"/>
          <w:sz w:val="34"/>
        </w:rPr>
        <w:t>5. AI Microservice (Python)</w:t>
      </w:r>
    </w:p>
    <w:p>
      <w:pPr>
        <w:spacing w:before="200" w:after="40"/>
      </w:pPr>
      <w:r>
        <w:rPr>
          <w:rFonts w:ascii="Times New Roman" w:hAnsi="Times New Roman" w:eastAsia="Times New Roman" w:cs="Times New Roman"/>
          <w:b/>
          <w:color w:val="0F213D"/>
          <w:sz w:val="25"/>
        </w:rPr>
        <w:t>Q43.  What is the AI microservice built with, and what does it expose?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 Python FastAPI application, served by Uvicorn, exposing three endpoints: GET /health (a liveness probe the .NET backend checks), POST /api/v1/parse-resume (resume text/skill extraction), and POST /api/v1/rank (semantic similarity + fit-classifier scoring for a batch of candidates against one job).</w:t>
      </w:r>
    </w:p>
    <w:p>
      <w:pPr>
        <w:spacing w:before="200" w:after="40"/>
      </w:pPr>
      <w:r>
        <w:rPr>
          <w:rFonts w:ascii="Times New Roman" w:hAnsi="Times New Roman" w:eastAsia="Times New Roman" w:cs="Times New Roman"/>
          <w:b/>
          <w:color w:val="0F213D"/>
          <w:sz w:val="25"/>
        </w:rPr>
        <w:t>Q44.  How is text extracted from an uploaded resume?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PDF resumes are read with PyMuPDF (a fast, well-maintained PDF-parsing library); DOCX resumes are read with python-docx. Both paths converge on plain extracted text, which then goes through the same downstream skill-detection and word-count logic regardless of the original file format.</w:t>
      </w:r>
    </w:p>
    <w:p>
      <w:pPr>
        <w:spacing w:before="200" w:after="40"/>
      </w:pPr>
      <w:r>
        <w:rPr>
          <w:rFonts w:ascii="Times New Roman" w:hAnsi="Times New Roman" w:eastAsia="Times New Roman" w:cs="Times New Roman"/>
          <w:b/>
          <w:color w:val="0F213D"/>
          <w:sz w:val="25"/>
        </w:rPr>
        <w:t>Q45.  Is skill detection done with a machine-learning NER model?</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No — it's deliberately a simpler, deterministic mechanism: exact, case-insensitive, word-boundary regex matching against a skill's name and its known aliases from the taxonomy. This is a precision-over-recall design choice — a false positive silently pollutes a candidate's profile, while a false negative is easy to fix because the candidate reviews and edits the extracted skills before they're treated as confirmed.</w:t>
      </w:r>
    </w:p>
    <w:p>
      <w:pPr>
        <w:spacing w:before="200" w:after="40"/>
      </w:pPr>
      <w:r>
        <w:rPr>
          <w:rFonts w:ascii="Times New Roman" w:hAnsi="Times New Roman" w:eastAsia="Times New Roman" w:cs="Times New Roman"/>
          <w:b/>
          <w:color w:val="0F213D"/>
          <w:sz w:val="25"/>
        </w:rPr>
        <w:t>Q46.  How does the /rank endpoint stay stateless, and why does that matter?</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It takes everything it needs — the job description text, each candidate's resume text, and the skill taxonomy — as parameters in the request body, and never queries a database itself. This keeps the AI service simple to test and horizontally scalable; the .NET side combines this response with its own SQL-computed skill-match ratio into the final weighted score.</w:t>
      </w:r>
    </w:p>
    <w:p>
      <w:pPr>
        <w:spacing w:before="200" w:after="40"/>
      </w:pPr>
      <w:r>
        <w:rPr>
          <w:rFonts w:ascii="Times New Roman" w:hAnsi="Times New Roman" w:eastAsia="Times New Roman" w:cs="Times New Roman"/>
          <w:b/>
          <w:color w:val="0F213D"/>
          <w:sz w:val="25"/>
        </w:rPr>
        <w:t>Q47.  Why is ranking done as a single batched call instead of one call per candidate?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Because a job might have dozens or hundreds of eligible candidates, and one HTTP round-trip per candidate would make proactive matching prohibitively slow. The batched design means re-ranking a job's candidate pool costs one call to the AI service no matter whether there are 5 candidates or 500.</w:t>
      </w:r>
    </w:p>
    <w:p>
      <w:pPr>
        <w:spacing w:before="200" w:after="40"/>
      </w:pPr>
      <w:r>
        <w:rPr>
          <w:rFonts w:ascii="Times New Roman" w:hAnsi="Times New Roman" w:eastAsia="Times New Roman" w:cs="Times New Roman"/>
          <w:b/>
          <w:color w:val="0F213D"/>
          <w:sz w:val="25"/>
        </w:rPr>
        <w:t>Q48.  How does the AI service load its models, and why at startup rather than per-request?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Both the sentence-embedding model and the fit-classifier are loaded once during FastAPI's lifespan startup hook, not lazily on the first request — loading them takes a few seconds, and doing that on every request would add that latency to every single ranking call.</w:t>
      </w:r>
    </w:p>
    <w:p>
      <w:pPr>
        <w:spacing w:before="200" w:after="40"/>
      </w:pPr>
      <w:r>
        <w:rPr>
          <w:rFonts w:ascii="Times New Roman" w:hAnsi="Times New Roman" w:eastAsia="Times New Roman" w:cs="Times New Roman"/>
          <w:b/>
          <w:color w:val="0F213D"/>
          <w:sz w:val="25"/>
        </w:rPr>
        <w:t>Q49.  What does the .NET backend do if the AI service is unreachable?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AiServiceClient wraps every call so a timeout or connection failure is caught and converted into a typed “unsuccessful” result rather than propagating as an exception; ScoringService then falls back to a skill-match-only score, so applications keep getting scored — just with one fewer signal — instead of failing outright.</w:t>
      </w:r>
    </w:p>
    <w:p>
      <w:pPr>
        <w:spacing w:before="200" w:after="40"/>
      </w:pPr>
      <w:r>
        <w:rPr>
          <w:rFonts w:ascii="Times New Roman" w:hAnsi="Times New Roman" w:eastAsia="Times New Roman" w:cs="Times New Roman"/>
          <w:b/>
          <w:color w:val="0F213D"/>
          <w:sz w:val="25"/>
        </w:rPr>
        <w:t>Q50.  What file-size or format limits does resume upload enforce, and where?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 10 MB cap is enforced identically on both sides — the FastAPI service rejects an oversized file with a clear error message before attempting extraction, and the .NET side validates file type and size before the file is ever sent to storage or the AI service, per NFR-05.</w:t>
      </w:r>
    </w:p>
    <w:p>
      <w:pPr>
        <w:spacing w:before="200" w:after="40"/>
      </w:pPr>
      <w:r>
        <w:rPr>
          <w:rFonts w:ascii="Times New Roman" w:hAnsi="Times New Roman" w:eastAsia="Times New Roman" w:cs="Times New Roman"/>
          <w:b/>
          <w:color w:val="0F213D"/>
          <w:sz w:val="25"/>
        </w:rPr>
        <w:t>Q51.  Why doesn't the AI service talk to the SQL Server database directly?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To keep it a clean, stateless, horizontally scalable service with a narrow, well-defined HTTP contract — giving it direct database access would couple its deployment lifecycle to the .NET side's schema and create a second path that could read or write data inconsistently with the API's own business rules.</w:t>
      </w:r>
    </w:p>
    <w:p>
      <w:pPr>
        <w:spacing w:before="200" w:after="40"/>
      </w:pPr>
      <w:r>
        <w:rPr>
          <w:rFonts w:ascii="Times New Roman" w:hAnsi="Times New Roman" w:eastAsia="Times New Roman" w:cs="Times New Roman"/>
          <w:b/>
          <w:color w:val="0F213D"/>
          <w:sz w:val="25"/>
        </w:rPr>
        <w:t>Q52.  How would you scale the AI service if load increased significantly?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Since it's stateless and loads its models once at startup, you can run multiple instances behind a load balancer with no coordination needed between them — each instance independently answers whatever request it receives.</w:t>
      </w:r>
    </w:p>
    <w:p>
      <w:pPr>
        <w:keepNext/>
        <w:spacing w:before="400" w:after="160"/>
        <w:pBdr>
          <w:bottom w:val="single" w:sz="8" w:space="4" w:color="0F213D"/>
        </w:pBdr>
      </w:pPr>
      <w:r>
        <w:rPr>
          <w:rFonts w:ascii="Times New Roman" w:hAnsi="Times New Roman" w:eastAsia="Times New Roman" w:cs="Times New Roman"/>
          <w:b/>
          <w:color w:val="0F213D"/>
          <w:sz w:val="34"/>
        </w:rPr>
        <w:t>6. Model Training / Machine Learning</w:t>
      </w:r>
    </w:p>
    <w:p>
      <w:pPr>
        <w:spacing w:before="200" w:after="40"/>
      </w:pPr>
      <w:r>
        <w:rPr>
          <w:rFonts w:ascii="Times New Roman" w:hAnsi="Times New Roman" w:eastAsia="Times New Roman" w:cs="Times New Roman"/>
          <w:b/>
          <w:color w:val="0F213D"/>
          <w:sz w:val="25"/>
        </w:rPr>
        <w:t>Q53.  What machine-learning problem are you solving, and what are the classes?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 three-class classification problem — predicting whether a candidate is “No Fit,” “Potential Fit,” or “Good Fit” for a given job, based on features derived from the resume and job description.</w:t>
      </w:r>
    </w:p>
    <w:p>
      <w:pPr>
        <w:spacing w:before="200" w:after="40"/>
      </w:pPr>
      <w:r>
        <w:rPr>
          <w:rFonts w:ascii="Times New Roman" w:hAnsi="Times New Roman" w:eastAsia="Times New Roman" w:cs="Times New Roman"/>
          <w:b/>
          <w:color w:val="0F213D"/>
          <w:sz w:val="25"/>
        </w:rPr>
        <w:t>Q54.  What features feed the classifier?</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Skill-overlap score and raw overlap count (from taxonomy-based skill detection), resume and job skill counts, the semantic-similarity score from the S-BERT model, resume and job word counts, and the combined resume+job text itself (fed through a text transform in the preprocessor).</w:t>
      </w:r>
    </w:p>
    <w:p>
      <w:pPr>
        <w:spacing w:before="200" w:after="40"/>
      </w:pPr>
      <w:r>
        <w:rPr>
          <w:rFonts w:ascii="Times New Roman" w:hAnsi="Times New Roman" w:eastAsia="Times New Roman" w:cs="Times New Roman"/>
          <w:b/>
          <w:color w:val="0F213D"/>
          <w:sz w:val="25"/>
        </w:rPr>
        <w:t>Q55.  Which algorithms did you compare, and what did you conclude?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Logistic Regression, Random Forest, Linear SVM, and XGBoost, each under two feature configurations — full-feature (structured features + text) and text-only. Every algorithm scored dramatically higher with full features (e.g. XGBoost 98.9% vs. 72.3% text-only), which is the core empirical justification for combining skill overlap and semantic similarity rather than relying on free text alone.</w:t>
      </w:r>
    </w:p>
    <w:p>
      <w:pPr>
        <w:spacing w:before="200" w:after="40"/>
      </w:pPr>
      <w:r>
        <w:rPr>
          <w:rFonts w:ascii="Times New Roman" w:hAnsi="Times New Roman" w:eastAsia="Times New Roman" w:cs="Times New Roman"/>
          <w:b/>
          <w:color w:val="0F213D"/>
          <w:sz w:val="25"/>
        </w:rPr>
        <w:t>Q56.  Why report macro F1-score instead of just accuracy?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Because the three classes aren't evenly represented in real recruitment data — most candidate-job pairs are poor fits — so a trivial model that always predicts “No Fit” could score deceptively well on raw accuracy while being useless for the “Good Fit” class the system exists to surface. Macro F1 weights all three classes equally regardless of how often each occurs.</w:t>
      </w:r>
    </w:p>
    <w:p>
      <w:pPr>
        <w:spacing w:before="200" w:after="40"/>
      </w:pPr>
      <w:r>
        <w:rPr>
          <w:rFonts w:ascii="Times New Roman" w:hAnsi="Times New Roman" w:eastAsia="Times New Roman" w:cs="Times New Roman"/>
          <w:b/>
          <w:color w:val="0F213D"/>
          <w:sz w:val="25"/>
        </w:rPr>
        <w:t>Q57.  How did you validate that your model wasn't overfitting?</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With learning curves across a training-size sweep for both feature sets. On the text-only set, Random Forest and XGBoost showed training accuracy pinned near 1.0 while validation accuracy stayed well below 0.8 — a classic overfitting signature — while Logistic Regression and linear SVM instead showed underfitting, together showing the full-vs-text-only gap is a feature-quality ceiling, not something more training data would fix.</w:t>
      </w:r>
    </w:p>
    <w:p>
      <w:pPr>
        <w:spacing w:before="200" w:after="40"/>
      </w:pPr>
      <w:r>
        <w:rPr>
          <w:rFonts w:ascii="Times New Roman" w:hAnsi="Times New Roman" w:eastAsia="Times New Roman" w:cs="Times New Roman"/>
          <w:b/>
          <w:color w:val="0F213D"/>
          <w:sz w:val="25"/>
        </w:rPr>
        <w:t>Q58.  How did you check that your cross-validation estimates weren't optimistic?</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By comparing cross-validation accuracy against a completely untouched holdout test set for every model. For every full-feature model, the holdout accuracy landed within or above the CV estimate's error bars, confirming the validation folds weren't systematically inflated.</w:t>
      </w:r>
    </w:p>
    <w:p>
      <w:pPr>
        <w:spacing w:before="200" w:after="40"/>
      </w:pPr>
      <w:r>
        <w:rPr>
          <w:rFonts w:ascii="Times New Roman" w:hAnsi="Times New Roman" w:eastAsia="Times New Roman" w:cs="Times New Roman"/>
          <w:b/>
          <w:color w:val="0F213D"/>
          <w:sz w:val="25"/>
        </w:rPr>
        <w:t>Q59.  Which model did you actually deploy, and why?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deployed model is XGBoost — trained with a scikit-learn ColumnTransformer preprocessor and an XGBoost booster. I originally hit a real cross-platform serialization failure: a model trained on Google Colab (Linux) wouldn't deserialize on the Windows deployment target, because joblib-pickling XGBoost's compiled native booster doesn't round-trip cleanly across operating systems. I resolved this by saving the sklearn preprocessor with joblib (portable, plain Python/NumPy data) but exporting the XGBoost booster itself through its own native save_model()/load_model() JSON format, which is OS-independent — that let me ship the highest-scoring model after all.</w:t>
      </w:r>
    </w:p>
    <w:p>
      <w:pPr>
        <w:spacing w:before="200" w:after="40"/>
      </w:pPr>
      <w:r>
        <w:rPr>
          <w:rFonts w:ascii="Times New Roman" w:hAnsi="Times New Roman" w:eastAsia="Times New Roman" w:cs="Times New Roman"/>
          <w:b/>
          <w:color w:val="0F213D"/>
          <w:sz w:val="25"/>
        </w:rPr>
        <w:t>Q60.  (Follow-up) So does that contradict what's written in your thesis?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Yes, and I want to be upfront about that — the thesis text describes the point where I'd hit the serialization failure and hadn't yet solved it, so it says Logistic Regression was chosen for deployment reliability. Since then I found and implemented the native-format fix, so the actual deployed model today is XGBoost. That's a later engineering iteration than what's written, and I'm updating the thesis narrative to reflect it.</w:t>
      </w:r>
    </w:p>
    <w:p>
      <w:pPr>
        <w:spacing w:before="200" w:after="40"/>
      </w:pPr>
      <w:r>
        <w:rPr>
          <w:rFonts w:ascii="Times New Roman" w:hAnsi="Times New Roman" w:eastAsia="Times New Roman" w:cs="Times New Roman"/>
          <w:b/>
          <w:color w:val="0F213D"/>
          <w:sz w:val="25"/>
        </w:rPr>
        <w:t>Q61.  How is class imbalance / test-set composition handled?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held-out test set has 271 records — 98 “No Fit,” 75 “Potential Fit,” 98 “Good Fit” — reasonably balanced by design; the reported metrics (macro F1, per-class precision/recall, confusion matrices) are chosen specifically so an imbalance wouldn't be hidden by a single accuracy number.</w:t>
      </w:r>
    </w:p>
    <w:p>
      <w:pPr>
        <w:spacing w:before="200" w:after="40"/>
      </w:pPr>
      <w:r>
        <w:rPr>
          <w:rFonts w:ascii="Times New Roman" w:hAnsi="Times New Roman" w:eastAsia="Times New Roman" w:cs="Times New Roman"/>
          <w:b/>
          <w:color w:val="0F213D"/>
          <w:sz w:val="25"/>
        </w:rPr>
        <w:t>Q62.  What does the confusion matrix tell you about where the model struggles?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Across all four full-feature models, almost every misclassification sits on the No Fit/Potential Fit boundary rather than the far more consequential No Fit/Good Fit confusion, which every model avoids almost entirely — Random Forest is the weakest off-diagonal, while XGBoost misclassifies only one record.</w:t>
      </w:r>
    </w:p>
    <w:p>
      <w:pPr>
        <w:spacing w:before="200" w:after="40"/>
      </w:pPr>
      <w:r>
        <w:rPr>
          <w:rFonts w:ascii="Times New Roman" w:hAnsi="Times New Roman" w:eastAsia="Times New Roman" w:cs="Times New Roman"/>
          <w:b/>
          <w:color w:val="0F213D"/>
          <w:sz w:val="25"/>
        </w:rPr>
        <w:t>Q63.  What do the ROC and precision-recall curves add beyond the confusion matrix?</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They evaluate discrimination quality independent of a single fixed decision threshold. Even “Potential Fit” — the class every model's point-estimate struggles with most — reaches a near-perfect AUC (0.997) for XGBoost, showing the class is separable at the right threshold; the point-estimate weakness is a calibration issue, not a sign the model can't tell the classes apart.</w:t>
      </w:r>
    </w:p>
    <w:p>
      <w:pPr>
        <w:spacing w:before="200" w:after="40"/>
      </w:pPr>
      <w:r>
        <w:rPr>
          <w:rFonts w:ascii="Times New Roman" w:hAnsi="Times New Roman" w:eastAsia="Times New Roman" w:cs="Times New Roman"/>
          <w:b/>
          <w:color w:val="0F213D"/>
          <w:sz w:val="25"/>
        </w:rPr>
        <w:t>Q64.  How was the training data sourced, given recruitment data is sensitive?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Real candidate resumes and real hiring decisions are exactly the kind of sensitive personal data the ethical framework in the methodology chapter flags as a risk, so the classifier was trained on synthetic and publicly available candidate-job pairs rather than real applicant data — a deliberate, ethically-motivated choice, not an oversight.</w:t>
      </w:r>
    </w:p>
    <w:p>
      <w:pPr>
        <w:keepNext/>
        <w:spacing w:before="400" w:after="160"/>
        <w:pBdr>
          <w:bottom w:val="single" w:sz="8" w:space="4" w:color="0F213D"/>
        </w:pBdr>
      </w:pPr>
      <w:r>
        <w:rPr>
          <w:rFonts w:ascii="Times New Roman" w:hAnsi="Times New Roman" w:eastAsia="Times New Roman" w:cs="Times New Roman"/>
          <w:b/>
          <w:color w:val="0F213D"/>
          <w:sz w:val="34"/>
        </w:rPr>
        <w:t>7. Gemini API / LLM Integration</w:t>
      </w:r>
    </w:p>
    <w:p>
      <w:pPr>
        <w:spacing w:before="200" w:after="40"/>
      </w:pPr>
      <w:r>
        <w:rPr>
          <w:rFonts w:ascii="Times New Roman" w:hAnsi="Times New Roman" w:eastAsia="Times New Roman" w:cs="Times New Roman"/>
          <w:b/>
          <w:color w:val="0F213D"/>
          <w:sz w:val="25"/>
        </w:rPr>
        <w:t>Q65.  What LLM does the system use, and for which features?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Google Gemini, used for AI-assisted job description generation, skill-gap explanation, personalized improvement-plan generation, candidate feedback drafting, skill-assessment question generation and answer grading, and the recruitment chatbot.</w:t>
      </w:r>
    </w:p>
    <w:p>
      <w:pPr>
        <w:spacing w:before="200" w:after="40"/>
      </w:pPr>
      <w:r>
        <w:rPr>
          <w:rFonts w:ascii="Times New Roman" w:hAnsi="Times New Roman" w:eastAsia="Times New Roman" w:cs="Times New Roman"/>
          <w:b/>
          <w:color w:val="0F213D"/>
          <w:sz w:val="25"/>
        </w:rPr>
        <w:t>Q66.  Why Gemini specifically?</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It's accessible on a free tier without requiring a billing card, which mattered for a self-funded final-year project, while still being capable enough for structured generation tasks like job descriptions and explanations.</w:t>
      </w:r>
    </w:p>
    <w:p>
      <w:pPr>
        <w:spacing w:before="200" w:after="40"/>
      </w:pPr>
      <w:r>
        <w:rPr>
          <w:rFonts w:ascii="Times New Roman" w:hAnsi="Times New Roman" w:eastAsia="Times New Roman" w:cs="Times New Roman"/>
          <w:b/>
          <w:color w:val="0F213D"/>
          <w:sz w:val="25"/>
        </w:rPr>
        <w:t>Q67.  How does the .NET code actually call Gemini, given there's no NuGet package for it in use?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Directly via HttpClient, POSTing to Gemini's documented REST endpoint (/v1beta/interactions) with the API key attached as a request header — there's no official Google-maintained C# SDK for this endpoint, so it's called the same way the Python AI microservice is called: a typed HttpClient against a well-defined REST contract.</w:t>
      </w:r>
    </w:p>
    <w:p>
      <w:pPr>
        <w:spacing w:before="200" w:after="40"/>
      </w:pPr>
      <w:r>
        <w:rPr>
          <w:rFonts w:ascii="Times New Roman" w:hAnsi="Times New Roman" w:eastAsia="Times New Roman" w:cs="Times New Roman"/>
          <w:b/>
          <w:color w:val="0F213D"/>
          <w:sz w:val="25"/>
        </w:rPr>
        <w:t>Q68.  What happens if the Gemini call fails or times out?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Each Gemini-backed feature has a matching deterministic Template implementation behind the same interface (e.g. IJdGenerator has GeminiJdGenerator and TemplateJdGenerator). The calling service tries Gemini first and catches failures, falling back to the template so the feature still works, just with less fluent output.</w:t>
      </w:r>
    </w:p>
    <w:p>
      <w:pPr>
        <w:spacing w:before="200" w:after="40"/>
      </w:pPr>
      <w:r>
        <w:rPr>
          <w:rFonts w:ascii="Times New Roman" w:hAnsi="Times New Roman" w:eastAsia="Times New Roman" w:cs="Times New Roman"/>
          <w:b/>
          <w:color w:val="0F213D"/>
          <w:sz w:val="25"/>
        </w:rPr>
        <w:t>Q69.  How do you prevent an AI-generated job description from publishing without review?</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generation endpoint always returns the draft as plain editable text with a requiresApproval flag, and the job's status stays Draft. Only an explicit employer approval and a subsequent administrator moderation step move it to Published; nothing generated by Gemini is ever auto-published.</w:t>
      </w:r>
    </w:p>
    <w:p>
      <w:pPr>
        <w:spacing w:before="200" w:after="40"/>
      </w:pPr>
      <w:r>
        <w:rPr>
          <w:rFonts w:ascii="Times New Roman" w:hAnsi="Times New Roman" w:eastAsia="Times New Roman" w:cs="Times New Roman"/>
          <w:b/>
          <w:color w:val="0F213D"/>
          <w:sz w:val="25"/>
        </w:rPr>
        <w:t>Q70.  How is the chatbot kept from answering off-topic or unsafe questions?</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Through a component called ChatScopeGate that checks the LLM's reply against what's in-scope for a recruitment assistant before it reaches the user; an out-of-scope reply is replaced with a fixed fallback message rather than being shown to the user.</w:t>
      </w:r>
    </w:p>
    <w:p>
      <w:pPr>
        <w:spacing w:before="200" w:after="40"/>
      </w:pPr>
      <w:r>
        <w:rPr>
          <w:rFonts w:ascii="Times New Roman" w:hAnsi="Times New Roman" w:eastAsia="Times New Roman" w:cs="Times New Roman"/>
          <w:b/>
          <w:color w:val="0F213D"/>
          <w:sz w:val="25"/>
        </w:rPr>
        <w:t>Q71.  How does the chatbot avoid leaking one user's data to another?</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Three separate context-builder implementations (Candidate/Employer/Admin) assemble the prompt context strictly from that authenticated user's own data before the request goes to Gemini — an Employer's session never sees a Candidate's private profile data, and vice versa.</w:t>
      </w:r>
    </w:p>
    <w:p>
      <w:pPr>
        <w:spacing w:before="200" w:after="40"/>
      </w:pPr>
      <w:r>
        <w:rPr>
          <w:rFonts w:ascii="Times New Roman" w:hAnsi="Times New Roman" w:eastAsia="Times New Roman" w:cs="Times New Roman"/>
          <w:b/>
          <w:color w:val="0F213D"/>
          <w:sz w:val="25"/>
        </w:rPr>
        <w:t>Q72.  How does “confidence-gated evidence review” use an LLM?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When a candidate submits evidence for a skill-improvement step, a Gemini-backed evidence reviewer returns both a recommendation and a confidence score. If confidence is high, the recommendation auto-applies; if it's low, the item is queued for an Administrator's manual decision instead — the AI never gets the final say when it's unsure.</w:t>
      </w:r>
    </w:p>
    <w:p>
      <w:pPr>
        <w:spacing w:before="200" w:after="40"/>
      </w:pPr>
      <w:r>
        <w:rPr>
          <w:rFonts w:ascii="Times New Roman" w:hAnsi="Times New Roman" w:eastAsia="Times New Roman" w:cs="Times New Roman"/>
          <w:b/>
          <w:color w:val="0F213D"/>
          <w:sz w:val="25"/>
        </w:rPr>
        <w:t>Q73.  Is there any prompt-injection or content-safety risk with feeding resume/job text into Gemini?</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system-level instructions constrain the model to a specific structured output format and forbid fabricating facts not present in the input, and every generated output is reviewed by a human before it has any real effect — so even if a prompt-injection attempt slipped in, it couldn't silently take an action on its own.</w:t>
      </w:r>
    </w:p>
    <w:p>
      <w:pPr>
        <w:spacing w:before="200" w:after="40"/>
      </w:pPr>
      <w:r>
        <w:rPr>
          <w:rFonts w:ascii="Times New Roman" w:hAnsi="Times New Roman" w:eastAsia="Times New Roman" w:cs="Times New Roman"/>
          <w:b/>
          <w:color w:val="0F213D"/>
          <w:sz w:val="25"/>
        </w:rPr>
        <w:t>Q74.  What would happen if you swapped Gemini for another provider?</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Relatively little would need to change — because every AI-generation feature is defined behind a small interface, a new implementation class calling a different provider's API could be registered in place of the Gemini one without touching the calling code. That's exactly why the Anthropic and OpenAI packages are already referenced in the project, as groundwork for that kind of swap.</w:t>
      </w:r>
    </w:p>
    <w:p>
      <w:pPr>
        <w:keepNext/>
        <w:spacing w:before="400" w:after="160"/>
        <w:pBdr>
          <w:bottom w:val="single" w:sz="8" w:space="4" w:color="0F213D"/>
        </w:pBdr>
      </w:pPr>
      <w:r>
        <w:rPr>
          <w:rFonts w:ascii="Times New Roman" w:hAnsi="Times New Roman" w:eastAsia="Times New Roman" w:cs="Times New Roman"/>
          <w:b/>
          <w:color w:val="0F213D"/>
          <w:sz w:val="34"/>
        </w:rPr>
        <w:t>8. Testing, Security &amp; Ethics</w:t>
      </w:r>
    </w:p>
    <w:p>
      <w:pPr>
        <w:spacing w:before="200" w:after="40"/>
      </w:pPr>
      <w:r>
        <w:rPr>
          <w:rFonts w:ascii="Times New Roman" w:hAnsi="Times New Roman" w:eastAsia="Times New Roman" w:cs="Times New Roman"/>
          <w:b/>
          <w:color w:val="0F213D"/>
          <w:sz w:val="25"/>
        </w:rPr>
        <w:t>Q75.  How was the system tested?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Three ways — a design-time functional/non-functional test plan tracing sample test cases back to specific requirements and implementation units; the existing xUnit automated test suite; and a full empirical evaluation of the trained fit-classifier against a held-out test set.</w:t>
      </w:r>
    </w:p>
    <w:p>
      <w:pPr>
        <w:spacing w:before="200" w:after="40"/>
      </w:pPr>
      <w:r>
        <w:rPr>
          <w:rFonts w:ascii="Times New Roman" w:hAnsi="Times New Roman" w:eastAsia="Times New Roman" w:cs="Times New Roman"/>
          <w:b/>
          <w:color w:val="0F213D"/>
          <w:sz w:val="25"/>
        </w:rPr>
        <w:t>Q76.  What happened when you ran the xUnit test suite, and what did you learn from it?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It didn't run any tests at all — the build failed with a compile error because a hand-written test fake, FakeScoringService, no longer implemented the current IScoringService interface after that interface was extended. I kept this finding rather than quietly fixing it, because it demonstrates the value of a statically-typed backend: the mismatch was caught before a single test could run against a stale fake and report a misleadingly “green” build.</w:t>
      </w:r>
    </w:p>
    <w:p>
      <w:pPr>
        <w:spacing w:before="200" w:after="40"/>
      </w:pPr>
      <w:r>
        <w:rPr>
          <w:rFonts w:ascii="Times New Roman" w:hAnsi="Times New Roman" w:eastAsia="Times New Roman" w:cs="Times New Roman"/>
          <w:b/>
          <w:color w:val="0F213D"/>
          <w:sz w:val="25"/>
        </w:rPr>
        <w:t>Q77.  What security measures does the system implement?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JWT bearer authentication with role-based authorization on every endpoint except registration/login and public job listings; BCrypt password hashing; file-upload validation by type and size before storage; and an immutable audit log of every administrator action and AI-driven decision.</w:t>
      </w:r>
    </w:p>
    <w:p>
      <w:pPr>
        <w:spacing w:before="200" w:after="40"/>
      </w:pPr>
      <w:r>
        <w:rPr>
          <w:rFonts w:ascii="Times New Roman" w:hAnsi="Times New Roman" w:eastAsia="Times New Roman" w:cs="Times New Roman"/>
          <w:b/>
          <w:color w:val="0F213D"/>
          <w:sz w:val="25"/>
        </w:rPr>
        <w:t>Q78.  What ethical risks did you identify, and how are they mitigated?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Candidate privacy (mitigated by using synthetic/anonymized data for training and testing), AI bias in ranking or feedback (mitigated by keeping scoring explainable and grounded in relevant signals rather than an opaque black box), and over-reliance on AI as a final decision-maker (mitigated by keeping a human as the actual decision-maker everywhere it matters).</w:t>
      </w:r>
    </w:p>
    <w:p>
      <w:pPr>
        <w:spacing w:before="200" w:after="40"/>
      </w:pPr>
      <w:r>
        <w:rPr>
          <w:rFonts w:ascii="Times New Roman" w:hAnsi="Times New Roman" w:eastAsia="Times New Roman" w:cs="Times New Roman"/>
          <w:b/>
          <w:color w:val="0F213D"/>
          <w:sz w:val="25"/>
        </w:rPr>
        <w:t>Q79.  Is the final hiring decision ever made by AI?</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No — by explicit design. The system ranks, scores, and explains, but the employer always makes the actual hiring decision; “final hiring decision without human involvement” is explicitly listed as out of scope in the project's own scope table.</w:t>
      </w:r>
    </w:p>
    <w:p>
      <w:pPr>
        <w:spacing w:before="200" w:after="40"/>
      </w:pPr>
      <w:r>
        <w:rPr>
          <w:rFonts w:ascii="Times New Roman" w:hAnsi="Times New Roman" w:eastAsia="Times New Roman" w:cs="Times New Roman"/>
          <w:b/>
          <w:color w:val="0F213D"/>
          <w:sz w:val="25"/>
        </w:rPr>
        <w:t>Q80.  How do you know the AI ranking isn't biased?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 can't claim it's proven bias-free — the ranking signals are limited to skill match, semantic similarity, and (optionally) an assessment score, none of which are protected characteristics, and every score is shown with its breakdown so a human reviewer can catch an implausible ranking. This is a documented limitation, not a solved problem.</w:t>
      </w:r>
    </w:p>
    <w:p>
      <w:pPr>
        <w:spacing w:before="200" w:after="40"/>
      </w:pPr>
      <w:r>
        <w:rPr>
          <w:rFonts w:ascii="Times New Roman" w:hAnsi="Times New Roman" w:eastAsia="Times New Roman" w:cs="Times New Roman"/>
          <w:b/>
          <w:color w:val="0F213D"/>
          <w:sz w:val="25"/>
        </w:rPr>
        <w:t>Q81.  What audit/accountability mechanisms exist?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Every administrator action and every AI-driven approve/reject decision is written to an append-only AuditLog table with no update or delete endpoint exposed — genuinely immutable from the API's perspective, satisfying NFR-09.</w:t>
      </w:r>
    </w:p>
    <w:p>
      <w:pPr>
        <w:spacing w:before="200" w:after="40"/>
      </w:pPr>
      <w:r>
        <w:rPr>
          <w:rFonts w:ascii="Times New Roman" w:hAnsi="Times New Roman" w:eastAsia="Times New Roman" w:cs="Times New Roman"/>
          <w:b/>
          <w:color w:val="0F213D"/>
          <w:sz w:val="25"/>
        </w:rPr>
        <w:t>Q82.  How is candidate/employer data access isolated?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Role-based authorization plus ownership checks in the application services — a candidate only sees their own profile/applications/feedback, an employer only sees their own company's jobs/applicants/interviews, and only an administrator has platform-wide visibility, through specific admin endpoints only.</w:t>
      </w:r>
    </w:p>
    <w:p>
      <w:pPr>
        <w:spacing w:before="200" w:after="40"/>
      </w:pPr>
      <w:r>
        <w:rPr>
          <w:rFonts w:ascii="Times New Roman" w:hAnsi="Times New Roman" w:eastAsia="Times New Roman" w:cs="Times New Roman"/>
          <w:b/>
          <w:color w:val="0F213D"/>
          <w:sz w:val="25"/>
        </w:rPr>
        <w:t>Q83.  What testing is still outstanding / future work?</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Live usability and CV-generation-correctness testing with real candidate and employer participants, and load/performance testing under realistic concurrent traffic — both require a deployed instance being exercised by real users, so they're recorded honestly as future work.</w:t>
      </w:r>
    </w:p>
    <w:p>
      <w:pPr>
        <w:spacing w:before="200" w:after="40"/>
      </w:pPr>
      <w:r>
        <w:rPr>
          <w:rFonts w:ascii="Times New Roman" w:hAnsi="Times New Roman" w:eastAsia="Times New Roman" w:cs="Times New Roman"/>
          <w:b/>
          <w:color w:val="0F213D"/>
          <w:sz w:val="25"/>
        </w:rPr>
        <w:t>Q84.  How would you defend the accuracy claims in your evaluation if challenged?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figures are measured on a held-out test set the models never saw during training, cross-checked against cross-validation to rule out an optimistic split, and reported with full per-class precision/recall/F1 and confusion matrices rather than a single headline number — the claim is specific, not an unqualified general claim about all real-world resumes.</w:t>
      </w:r>
    </w:p>
    <w:p>
      <w:pPr>
        <w:keepNext/>
        <w:spacing w:before="400" w:after="160"/>
        <w:pBdr>
          <w:bottom w:val="single" w:sz="8" w:space="4" w:color="0F213D"/>
        </w:pBdr>
      </w:pPr>
      <w:r>
        <w:rPr>
          <w:rFonts w:ascii="Times New Roman" w:hAnsi="Times New Roman" w:eastAsia="Times New Roman" w:cs="Times New Roman"/>
          <w:b/>
          <w:color w:val="0F213D"/>
          <w:sz w:val="34"/>
        </w:rPr>
        <w:t>9. Challenges, Trade-offs &amp; Future Work</w:t>
      </w:r>
    </w:p>
    <w:p>
      <w:pPr>
        <w:spacing w:before="200" w:after="40"/>
      </w:pPr>
      <w:r>
        <w:rPr>
          <w:rFonts w:ascii="Times New Roman" w:hAnsi="Times New Roman" w:eastAsia="Times New Roman" w:cs="Times New Roman"/>
          <w:b/>
          <w:color w:val="0F213D"/>
          <w:sz w:val="25"/>
        </w:rPr>
        <w:t>Q85.  What was the hardest technical problem you encountered?</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cross-platform XGBoost model-serialization failure — a model trained in a cloud Linux environment wouldn't load in the Windows deployment target despite matching library versions. The root cause was that joblib-pickling a compiled native booster structure isn't portable across operating systems, which I solved by exporting the booster through its own native, OS-independent format instead.</w:t>
      </w:r>
    </w:p>
    <w:p>
      <w:pPr>
        <w:spacing w:before="200" w:after="40"/>
      </w:pPr>
      <w:r>
        <w:rPr>
          <w:rFonts w:ascii="Times New Roman" w:hAnsi="Times New Roman" w:eastAsia="Times New Roman" w:cs="Times New Roman"/>
          <w:b/>
          <w:color w:val="0F213D"/>
          <w:sz w:val="25"/>
        </w:rPr>
        <w:t>Q86.  What would you do differently if you started this project again?</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I'd settle the model-serialization question earlier, before writing the evaluation chapter, so the thesis narrative and the deployed code never drift apart the way they currently have — that's a process lesson as much as a technical one.</w:t>
      </w:r>
    </w:p>
    <w:p>
      <w:pPr>
        <w:spacing w:before="200" w:after="40"/>
      </w:pPr>
      <w:r>
        <w:rPr>
          <w:rFonts w:ascii="Times New Roman" w:hAnsi="Times New Roman" w:eastAsia="Times New Roman" w:cs="Times New Roman"/>
          <w:b/>
          <w:color w:val="0F213D"/>
          <w:sz w:val="25"/>
        </w:rPr>
        <w:t>Q87.  What's the biggest limitation of the current system?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It hasn't yet been evaluated with real candidates and employers using a live deployment — the quantitative matching-accuracy evaluation is solid, but the usability evaluation the methodology calls for is still future work, which is why I've now built feedback survey instruments to start collecting that data.</w:t>
      </w:r>
    </w:p>
    <w:p>
      <w:pPr>
        <w:spacing w:before="200" w:after="40"/>
      </w:pPr>
      <w:r>
        <w:rPr>
          <w:rFonts w:ascii="Times New Roman" w:hAnsi="Times New Roman" w:eastAsia="Times New Roman" w:cs="Times New Roman"/>
          <w:b/>
          <w:color w:val="0F213D"/>
          <w:sz w:val="25"/>
        </w:rPr>
        <w:t>Q88.  How would you extend this system to another industry beyond IT/Software Engineering?</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By swapping in a different skill taxonomy for that domain and retraining the fit-classifier on job/candidate data for it — the scoring pipeline, the interfaces, and the whole architecture are domain-agnostic; only the taxonomy and the trained model are IT-specific today.</w:t>
      </w:r>
    </w:p>
    <w:p>
      <w:pPr>
        <w:spacing w:before="200" w:after="40"/>
      </w:pPr>
      <w:r>
        <w:rPr>
          <w:rFonts w:ascii="Times New Roman" w:hAnsi="Times New Roman" w:eastAsia="Times New Roman" w:cs="Times New Roman"/>
          <w:b/>
          <w:color w:val="0F213D"/>
          <w:sz w:val="25"/>
        </w:rPr>
        <w:t>Q89.  What would you productionize next if this became a real commercial product?</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scoring-and-evidence-review pipeline specifically — it's the part that's genuinely differentiated versus commodity LLM text generation many vendors now offer, so I'd package it as an integratable module for an existing ATS rather than competing as a full end-to-end platform.</w:t>
      </w:r>
    </w:p>
    <w:p>
      <w:pPr>
        <w:spacing w:before="200" w:after="40"/>
      </w:pPr>
      <w:r>
        <w:rPr>
          <w:rFonts w:ascii="Times New Roman" w:hAnsi="Times New Roman" w:eastAsia="Times New Roman" w:cs="Times New Roman"/>
          <w:b/>
          <w:color w:val="0F213D"/>
          <w:sz w:val="25"/>
        </w:rPr>
        <w:t>Q90.  How would enabling the ML Fit Score's weight in ScoringOptions change behaviour?</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Since it currently defaults to zero pending a controlled rollout, enabling it would mean the classifier's “Good Fit” probability starts contributing to every application's Total Score, not just being computed and stored silently — the plan is to do that gradually and compare ranking quality against the current baseline first.</w:t>
      </w:r>
    </w:p>
    <w:p>
      <w:pPr>
        <w:spacing w:before="200" w:after="40"/>
      </w:pPr>
      <w:r>
        <w:rPr>
          <w:rFonts w:ascii="Times New Roman" w:hAnsi="Times New Roman" w:eastAsia="Times New Roman" w:cs="Times New Roman"/>
          <w:b/>
          <w:color w:val="0F213D"/>
          <w:sz w:val="25"/>
        </w:rPr>
        <w:t>Q91.  Why not use ONNX from the start to avoid the whole cross-platform problem?</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In hindsight it's a reasonable question — ONNX is explicitly listed as a future recommendation because it would generalize the fix I found to other model types beyond XGBoost. At the time, the native save_model()/load_model() path was the fastest way to unblock deployment for the specific model already trained; ONNX is the more systematic long-term fix.</w:t>
      </w:r>
    </w:p>
    <w:p>
      <w:pPr>
        <w:spacing w:before="200" w:after="40"/>
      </w:pPr>
      <w:r>
        <w:rPr>
          <w:rFonts w:ascii="Times New Roman" w:hAnsi="Times New Roman" w:eastAsia="Times New Roman" w:cs="Times New Roman"/>
          <w:b/>
          <w:color w:val="0F213D"/>
          <w:sz w:val="25"/>
        </w:rPr>
        <w:t>Q92.  If the panel says “your thesis and your code don't agree on the database and the model — which do we believe?”</w:t>
      </w:r>
    </w:p>
    <w:p>
      <w:pPr>
        <w:spacing w:after="80" w:line="288" w:lineRule="auto"/>
        <w:ind w:left="283"/>
      </w:pPr>
      <w:r>
        <w:rPr>
          <w:rFonts w:ascii="Times New Roman" w:hAnsi="Times New Roman" w:eastAsia="Times New Roman" w:cs="Times New Roman"/>
          <w:b/>
          <w:color w:val="0E7C72"/>
          <w:sz w:val="23"/>
        </w:rPr>
        <w:t xml:space="preserve">A:  </w:t>
      </w:r>
      <w:r>
        <w:rPr>
          <w:rFonts w:ascii="Times New Roman" w:hAnsi="Times New Roman" w:eastAsia="Times New Roman" w:cs="Times New Roman"/>
          <w:color w:val="222B38"/>
          <w:sz w:val="23"/>
        </w:rPr>
        <w:t>The code — the running system is the actual evidence, and I've verified both discrepancies directly against the source (the .csproj package reference and Program.cs for the database, the fit_classifier.py loader for the model). Both are documentation lag, not functional bugs, and I'm correcting the written thesis to match the code before final submission.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