
<file path=[Content_Types].xml><?xml version="1.0" encoding="utf-8"?>
<Types xmlns="http://schemas.openxmlformats.org/package/2006/content-types">
  <Default Extension="wmf" ContentType="image/x-wmf"/>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1"/>
        <w:gridCol w:w="2523"/>
        <w:gridCol w:w="2073"/>
        <w:gridCol w:w="2455"/>
      </w:tblGrid>
      <w:tr w14:paraId="73B3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471" w:type="dxa"/>
            <w:noWrap w:val="0"/>
            <w:vAlign w:val="center"/>
          </w:tcPr>
          <w:p w14:paraId="0630FB56">
            <w:pPr>
              <w:rPr>
                <w:rFonts w:hint="default" w:eastAsiaTheme="minorEastAsia"/>
                <w:b/>
                <w:sz w:val="28"/>
                <w:szCs w:val="28"/>
                <w:lang w:val="en-US" w:eastAsia="zh-CN"/>
              </w:rPr>
            </w:pPr>
            <w:r>
              <w:rPr>
                <w:rFonts w:hint="eastAsia"/>
                <w:b/>
                <w:sz w:val="28"/>
                <w:szCs w:val="28"/>
                <w:lang w:val="en-US" w:eastAsia="zh-CN"/>
              </w:rPr>
              <w:t>项目名</w:t>
            </w:r>
          </w:p>
        </w:tc>
        <w:tc>
          <w:tcPr>
            <w:tcW w:w="7051" w:type="dxa"/>
            <w:gridSpan w:val="3"/>
            <w:noWrap w:val="0"/>
            <w:vAlign w:val="center"/>
          </w:tcPr>
          <w:p w14:paraId="2FAA5746">
            <w:pPr>
              <w:jc w:val="center"/>
              <w:rPr>
                <w:b/>
                <w:sz w:val="28"/>
                <w:szCs w:val="28"/>
              </w:rPr>
            </w:pPr>
            <w:r>
              <w:rPr>
                <w:rFonts w:hint="eastAsia"/>
                <w:b/>
                <w:sz w:val="28"/>
                <w:szCs w:val="28"/>
                <w:lang w:val="en-US" w:eastAsia="zh-CN"/>
              </w:rPr>
              <w:t>实验项目2  单道及多道能谱测量</w:t>
            </w:r>
          </w:p>
        </w:tc>
      </w:tr>
      <w:tr w14:paraId="3FC4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71" w:type="dxa"/>
            <w:shd w:val="clear" w:color="auto" w:fill="auto"/>
            <w:noWrap w:val="0"/>
            <w:vAlign w:val="center"/>
          </w:tcPr>
          <w:p w14:paraId="7BF4AABB">
            <w:pPr>
              <w:rPr>
                <w:rFonts w:asciiTheme="minorHAnsi" w:hAnsiTheme="minorHAnsi" w:eastAsiaTheme="minorEastAsia" w:cstheme="minorBidi"/>
                <w:b/>
                <w:kern w:val="2"/>
                <w:sz w:val="28"/>
                <w:szCs w:val="28"/>
                <w:lang w:val="en-US" w:eastAsia="zh-CN" w:bidi="ar-SA"/>
              </w:rPr>
            </w:pPr>
            <w:r>
              <w:rPr>
                <w:b/>
                <w:sz w:val="28"/>
                <w:szCs w:val="28"/>
              </w:rPr>
              <w:t>班级</w:t>
            </w:r>
          </w:p>
        </w:tc>
        <w:tc>
          <w:tcPr>
            <w:tcW w:w="2523" w:type="dxa"/>
            <w:shd w:val="clear" w:color="auto" w:fill="auto"/>
            <w:noWrap w:val="0"/>
            <w:vAlign w:val="center"/>
          </w:tcPr>
          <w:p w14:paraId="00D8D79E">
            <w:pPr>
              <w:rPr>
                <w:rFonts w:hint="default"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23级智能影像工程1班</w:t>
            </w:r>
          </w:p>
        </w:tc>
        <w:tc>
          <w:tcPr>
            <w:tcW w:w="2073" w:type="dxa"/>
            <w:shd w:val="clear" w:color="auto" w:fill="auto"/>
            <w:noWrap w:val="0"/>
            <w:vAlign w:val="center"/>
          </w:tcPr>
          <w:p w14:paraId="453FA01C">
            <w:pPr>
              <w:rPr>
                <w:rFonts w:asciiTheme="minorHAnsi" w:hAnsiTheme="minorHAnsi" w:eastAsiaTheme="minorEastAsia" w:cstheme="minorBidi"/>
                <w:b/>
                <w:kern w:val="2"/>
                <w:sz w:val="28"/>
                <w:szCs w:val="28"/>
                <w:lang w:val="en-US" w:eastAsia="zh-CN" w:bidi="ar-SA"/>
              </w:rPr>
            </w:pPr>
            <w:r>
              <w:rPr>
                <w:b/>
                <w:sz w:val="28"/>
                <w:szCs w:val="28"/>
              </w:rPr>
              <w:t>姓名</w:t>
            </w:r>
          </w:p>
        </w:tc>
        <w:tc>
          <w:tcPr>
            <w:tcW w:w="2455" w:type="dxa"/>
            <w:noWrap w:val="0"/>
            <w:vAlign w:val="center"/>
          </w:tcPr>
          <w:p w14:paraId="19DB3294">
            <w:pPr>
              <w:rPr>
                <w:b/>
                <w:sz w:val="28"/>
                <w:szCs w:val="28"/>
              </w:rPr>
            </w:pPr>
            <w:r>
              <w:rPr>
                <w:rFonts w:hint="eastAsia" w:ascii="Times New Roman" w:hAnsi="Times New Roman" w:eastAsia="宋体" w:cs="Times New Roman"/>
                <w:b/>
                <w:bCs w:val="0"/>
                <w:kern w:val="2"/>
                <w:sz w:val="28"/>
                <w:szCs w:val="28"/>
                <w:lang w:val="en-US" w:eastAsia="zh-CN" w:bidi="ar"/>
              </w:rPr>
              <w:t>徐之涛、周吕謌、冯国校</w:t>
            </w:r>
          </w:p>
        </w:tc>
      </w:tr>
      <w:tr w14:paraId="4EE7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71" w:type="dxa"/>
            <w:shd w:val="clear" w:color="auto" w:fill="auto"/>
            <w:noWrap w:val="0"/>
            <w:vAlign w:val="center"/>
          </w:tcPr>
          <w:p w14:paraId="1D480B02">
            <w:pPr>
              <w:rPr>
                <w:rFonts w:asciiTheme="minorHAnsi" w:hAnsiTheme="minorHAnsi" w:eastAsiaTheme="minorEastAsia" w:cstheme="minorBidi"/>
                <w:b/>
                <w:kern w:val="2"/>
                <w:sz w:val="28"/>
                <w:szCs w:val="28"/>
                <w:lang w:val="en-US" w:eastAsia="zh-CN" w:bidi="ar-SA"/>
              </w:rPr>
            </w:pPr>
            <w:r>
              <w:rPr>
                <w:b/>
                <w:sz w:val="28"/>
                <w:szCs w:val="28"/>
              </w:rPr>
              <w:t>学号</w:t>
            </w:r>
          </w:p>
        </w:tc>
        <w:tc>
          <w:tcPr>
            <w:tcW w:w="2523" w:type="dxa"/>
            <w:shd w:val="clear" w:color="auto" w:fill="auto"/>
            <w:noWrap w:val="0"/>
            <w:vAlign w:val="center"/>
          </w:tcPr>
          <w:p w14:paraId="599DA2FE">
            <w:pPr>
              <w:rPr>
                <w:rFonts w:asciiTheme="minorHAnsi" w:hAnsiTheme="minorHAnsi" w:eastAsiaTheme="minorEastAsia" w:cstheme="minorBidi"/>
                <w:b/>
                <w:kern w:val="2"/>
                <w:sz w:val="28"/>
                <w:szCs w:val="28"/>
                <w:lang w:val="en-US" w:eastAsia="zh-CN" w:bidi="ar-SA"/>
              </w:rPr>
            </w:pPr>
            <w:r>
              <w:rPr>
                <w:rFonts w:hint="default" w:ascii="Times New Roman" w:hAnsi="Times New Roman" w:eastAsia="宋体" w:cs="Times New Roman"/>
                <w:b/>
                <w:bCs w:val="0"/>
                <w:kern w:val="2"/>
                <w:sz w:val="28"/>
                <w:szCs w:val="28"/>
                <w:lang w:val="en-US" w:eastAsia="zh-CN" w:bidi="ar"/>
              </w:rPr>
              <w:t>B23060301018/26/15</w:t>
            </w:r>
          </w:p>
        </w:tc>
        <w:tc>
          <w:tcPr>
            <w:tcW w:w="2073" w:type="dxa"/>
            <w:shd w:val="clear" w:color="auto" w:fill="auto"/>
            <w:noWrap w:val="0"/>
            <w:vAlign w:val="center"/>
          </w:tcPr>
          <w:p w14:paraId="43904E81">
            <w:pPr>
              <w:rPr>
                <w:rFonts w:asciiTheme="minorHAnsi" w:hAnsiTheme="minorHAnsi" w:eastAsiaTheme="minorEastAsia" w:cstheme="minorBidi"/>
                <w:b/>
                <w:kern w:val="2"/>
                <w:sz w:val="28"/>
                <w:szCs w:val="28"/>
                <w:lang w:val="en-US" w:eastAsia="zh-CN" w:bidi="ar-SA"/>
              </w:rPr>
            </w:pPr>
            <w:r>
              <w:rPr>
                <w:b/>
                <w:sz w:val="28"/>
                <w:szCs w:val="28"/>
              </w:rPr>
              <w:t>日期</w:t>
            </w:r>
          </w:p>
        </w:tc>
        <w:tc>
          <w:tcPr>
            <w:tcW w:w="2455" w:type="dxa"/>
            <w:noWrap w:val="0"/>
            <w:vAlign w:val="center"/>
          </w:tcPr>
          <w:p w14:paraId="00FE69C6">
            <w:pPr>
              <w:rPr>
                <w:rFonts w:hint="default"/>
                <w:b/>
                <w:sz w:val="28"/>
                <w:szCs w:val="28"/>
                <w:lang w:val="en-US"/>
              </w:rPr>
            </w:pPr>
            <w:r>
              <w:rPr>
                <w:rFonts w:hint="eastAsia" w:ascii="Times New Roman" w:hAnsi="Times New Roman" w:eastAsia="宋体" w:cs="Times New Roman"/>
                <w:b/>
                <w:bCs w:val="0"/>
                <w:kern w:val="2"/>
                <w:sz w:val="28"/>
                <w:szCs w:val="28"/>
                <w:lang w:val="en-US" w:eastAsia="zh-CN" w:bidi="ar"/>
              </w:rPr>
              <w:t>26.6.2</w:t>
            </w:r>
            <w:bookmarkStart w:id="0" w:name="_GoBack"/>
            <w:bookmarkEnd w:id="0"/>
          </w:p>
        </w:tc>
      </w:tr>
    </w:tbl>
    <w:p w14:paraId="16C93C62">
      <w:pPr>
        <w:pStyle w:val="3"/>
        <w:rPr>
          <w:rFonts w:hint="eastAsia" w:ascii="宋体" w:hAnsi="宋体" w:eastAsia="宋体"/>
          <w:sz w:val="28"/>
          <w:szCs w:val="28"/>
          <w:lang w:val="en-US" w:eastAsia="zh-CN"/>
        </w:rPr>
      </w:pPr>
      <w:r>
        <w:rPr>
          <w:rFonts w:hint="eastAsia" w:ascii="宋体" w:hAnsi="宋体" w:eastAsia="宋体"/>
          <w:sz w:val="28"/>
          <w:szCs w:val="28"/>
          <w:lang w:val="en-US" w:eastAsia="zh-CN"/>
        </w:rPr>
        <w:t>【实验主要内容】</w:t>
      </w:r>
    </w:p>
    <w:p w14:paraId="0DE7DE1B">
      <w:pPr>
        <w:spacing w:line="360" w:lineRule="auto"/>
        <w:rPr>
          <w:rFonts w:ascii="宋体" w:hAnsi="宋体" w:eastAsia="宋体" w:cs="Times New Roman"/>
          <w:sz w:val="24"/>
          <w:szCs w:val="24"/>
        </w:rPr>
      </w:pPr>
      <w:r>
        <w:rPr>
          <w:rFonts w:hint="eastAsia" w:ascii="宋体" w:hAnsi="宋体" w:eastAsia="宋体" w:cs="Times New Roman"/>
          <w:sz w:val="24"/>
          <w:szCs w:val="24"/>
        </w:rPr>
        <w:t>一</w:t>
      </w:r>
      <w:r>
        <w:rPr>
          <w:rFonts w:ascii="宋体" w:hAnsi="宋体" w:eastAsia="宋体" w:cs="Times New Roman"/>
          <w:sz w:val="24"/>
          <w:szCs w:val="24"/>
        </w:rPr>
        <w:t>、</w:t>
      </w:r>
      <w:r>
        <w:rPr>
          <w:rFonts w:hint="eastAsia" w:ascii="宋体" w:hAnsi="宋体" w:eastAsia="宋体" w:cs="Times New Roman"/>
          <w:sz w:val="24"/>
          <w:szCs w:val="24"/>
        </w:rPr>
        <w:t>单道能谱测量系统</w:t>
      </w:r>
    </w:p>
    <w:p w14:paraId="7428A095">
      <w:pPr>
        <w:spacing w:line="360" w:lineRule="auto"/>
        <w:rPr>
          <w:rFonts w:ascii="宋体" w:hAnsi="宋体" w:eastAsia="宋体" w:cs="Times New Roman"/>
          <w:sz w:val="24"/>
          <w:szCs w:val="24"/>
        </w:rPr>
      </w:pPr>
      <w:r>
        <w:rPr>
          <w:rFonts w:hint="eastAsia" w:ascii="宋体" w:hAnsi="宋体" w:eastAsia="宋体" w:cs="Times New Roman"/>
          <w:sz w:val="24"/>
          <w:szCs w:val="24"/>
        </w:rPr>
        <w:t>二</w:t>
      </w:r>
      <w:r>
        <w:rPr>
          <w:rFonts w:ascii="宋体" w:hAnsi="宋体" w:eastAsia="宋体" w:cs="Times New Roman"/>
          <w:sz w:val="24"/>
          <w:szCs w:val="24"/>
        </w:rPr>
        <w:t>、</w:t>
      </w:r>
      <w:r>
        <w:rPr>
          <w:rFonts w:hint="eastAsia" w:ascii="宋体" w:hAnsi="宋体" w:eastAsia="宋体" w:cs="Times New Roman"/>
          <w:sz w:val="24"/>
          <w:szCs w:val="24"/>
        </w:rPr>
        <w:t>多道能谱测量系统</w:t>
      </w:r>
    </w:p>
    <w:p w14:paraId="4043F8FC">
      <w:pPr>
        <w:spacing w:line="360" w:lineRule="auto"/>
        <w:rPr>
          <w:rFonts w:ascii="宋体" w:hAnsi="宋体" w:eastAsia="宋体" w:cs="Times New Roman"/>
          <w:sz w:val="24"/>
          <w:szCs w:val="24"/>
        </w:rPr>
      </w:pPr>
      <w:r>
        <w:rPr>
          <w:rFonts w:hint="eastAsia" w:ascii="宋体" w:hAnsi="宋体" w:eastAsia="宋体" w:cs="Times New Roman"/>
          <w:sz w:val="24"/>
          <w:szCs w:val="24"/>
        </w:rPr>
        <w:t>三</w:t>
      </w:r>
      <w:r>
        <w:rPr>
          <w:rFonts w:ascii="宋体" w:hAnsi="宋体" w:eastAsia="宋体" w:cs="Times New Roman"/>
          <w:sz w:val="24"/>
          <w:szCs w:val="24"/>
        </w:rPr>
        <w:t>、</w:t>
      </w:r>
      <w:r>
        <w:rPr>
          <w:rFonts w:hint="eastAsia" w:ascii="宋体" w:hAnsi="宋体" w:eastAsia="宋体" w:cs="Times New Roman"/>
          <w:sz w:val="24"/>
          <w:szCs w:val="24"/>
        </w:rPr>
        <w:t>思考题</w:t>
      </w:r>
    </w:p>
    <w:p w14:paraId="5891EA4D">
      <w:pPr>
        <w:spacing w:line="360" w:lineRule="auto"/>
        <w:rPr>
          <w:rFonts w:ascii="宋体" w:hAnsi="宋体" w:eastAsia="宋体" w:cs="Times New Roman"/>
          <w:sz w:val="24"/>
          <w:szCs w:val="24"/>
        </w:rPr>
      </w:pPr>
    </w:p>
    <w:p w14:paraId="60795AD5">
      <w:pPr>
        <w:pStyle w:val="7"/>
        <w:spacing w:before="0" w:beforeAutospacing="0" w:after="0" w:afterAutospacing="0" w:line="360" w:lineRule="auto"/>
        <w:rPr>
          <w:b/>
        </w:rPr>
      </w:pPr>
      <w:r>
        <w:rPr>
          <w:rFonts w:hint="eastAsia"/>
          <w:b/>
        </w:rPr>
        <w:t>一、单道射线能谱测量系统</w:t>
      </w:r>
    </w:p>
    <w:p w14:paraId="10211A5F">
      <w:pPr>
        <w:pStyle w:val="7"/>
        <w:spacing w:before="0" w:beforeAutospacing="0" w:after="0" w:afterAutospacing="0" w:line="360" w:lineRule="auto"/>
        <w:ind w:firstLine="480"/>
      </w:pPr>
      <w:r>
        <w:t>1、单道测量系统组成</w:t>
      </w:r>
    </w:p>
    <w:p w14:paraId="183DA39B">
      <w:pPr>
        <w:pStyle w:val="7"/>
        <w:spacing w:before="0" w:beforeAutospacing="0" w:after="0" w:afterAutospacing="0" w:line="360" w:lineRule="auto"/>
        <w:ind w:firstLine="480"/>
        <w:jc w:val="center"/>
      </w:pPr>
      <w:r>
        <w:drawing>
          <wp:inline distT="0" distB="0" distL="0" distR="0">
            <wp:extent cx="5039995" cy="1375410"/>
            <wp:effectExtent l="0" t="0" r="8255" b="0"/>
            <wp:docPr id="15" name="图片 15" descr="https://p.ananas.chaoxing.com/star3/origin/0b2a41b1c8bc821bf92910cd69ea4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p.ananas.chaoxing.com/star3/origin/0b2a41b1c8bc821bf92910cd69ea4214.png"/>
                    <pic:cNvPicPr>
                      <a:picLocks noChangeAspect="1" noChangeArrowheads="1"/>
                    </pic:cNvPicPr>
                  </pic:nvPicPr>
                  <pic:blipFill>
                    <a:blip r:embed="rId5" cstate="print">
                      <a:extLst>
                        <a:ext uri="{28A0092B-C50C-407E-A947-70E740481C1C}">
                          <a14:useLocalDpi xmlns:a14="http://schemas.microsoft.com/office/drawing/2010/main" val="0"/>
                        </a:ext>
                      </a:extLst>
                    </a:blip>
                    <a:srcRect l="6214"/>
                    <a:stretch>
                      <a:fillRect/>
                    </a:stretch>
                  </pic:blipFill>
                  <pic:spPr>
                    <a:xfrm>
                      <a:off x="0" y="0"/>
                      <a:ext cx="5055913" cy="1379792"/>
                    </a:xfrm>
                    <a:prstGeom prst="rect">
                      <a:avLst/>
                    </a:prstGeom>
                    <a:noFill/>
                    <a:ln>
                      <a:noFill/>
                    </a:ln>
                  </pic:spPr>
                </pic:pic>
              </a:graphicData>
            </a:graphic>
          </wp:inline>
        </w:drawing>
      </w:r>
    </w:p>
    <w:p w14:paraId="58987614">
      <w:pPr>
        <w:pStyle w:val="7"/>
        <w:spacing w:before="0" w:beforeAutospacing="0" w:after="0" w:afterAutospacing="0" w:line="360" w:lineRule="auto"/>
        <w:ind w:firstLine="480"/>
      </w:pPr>
      <w:r>
        <w:drawing>
          <wp:inline distT="0" distB="0" distL="0" distR="0">
            <wp:extent cx="4301490" cy="3225165"/>
            <wp:effectExtent l="0" t="0" r="16510" b="635"/>
            <wp:docPr id="14" name="图片 14" descr="https://p.ananas.chaoxing.com/star3/origin/da90b902a25a5acd078d0263ec640f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p.ananas.chaoxing.com/star3/origin/da90b902a25a5acd078d0263ec640f7c.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07253" cy="3229934"/>
                    </a:xfrm>
                    <a:prstGeom prst="rect">
                      <a:avLst/>
                    </a:prstGeom>
                    <a:noFill/>
                    <a:ln>
                      <a:noFill/>
                    </a:ln>
                  </pic:spPr>
                </pic:pic>
              </a:graphicData>
            </a:graphic>
          </wp:inline>
        </w:drawing>
      </w:r>
    </w:p>
    <w:p w14:paraId="04309EAF">
      <w:pPr>
        <w:pStyle w:val="7"/>
        <w:spacing w:before="0" w:beforeAutospacing="0" w:after="0" w:afterAutospacing="0" w:line="360" w:lineRule="auto"/>
        <w:ind w:firstLine="480"/>
        <w:jc w:val="center"/>
      </w:pPr>
      <w:r>
        <w:t>图1  闪烁体探测器单道测量系统框图与实物图（NIM插件式）</w:t>
      </w:r>
    </w:p>
    <w:p w14:paraId="793508DE">
      <w:pPr>
        <w:pStyle w:val="7"/>
        <w:spacing w:before="0" w:beforeAutospacing="0" w:after="0" w:afterAutospacing="0" w:line="360" w:lineRule="auto"/>
        <w:ind w:firstLine="420"/>
      </w:pPr>
      <w:r>
        <w:t>2、闪烁探测器</w:t>
      </w:r>
    </w:p>
    <w:p w14:paraId="08F284E5">
      <w:pPr>
        <w:pStyle w:val="7"/>
        <w:spacing w:before="0" w:beforeAutospacing="0" w:after="0" w:afterAutospacing="0" w:line="360" w:lineRule="auto"/>
        <w:ind w:firstLine="420"/>
      </w:pPr>
      <w:r>
        <w:t>闪烁体探测器是利用某些物质在核辐射的作用下会发光的特性来探测核辐射的，这些物质称为荧光物质或闪烁体。光电器件将微弱的闪烁光转变为光电子，光电子经过多次倍增放大后，输出一个电脉冲，这种装置叫做闪烁探测器。</w:t>
      </w:r>
    </w:p>
    <w:p w14:paraId="20BC8810">
      <w:pPr>
        <w:pStyle w:val="7"/>
        <w:spacing w:before="0" w:beforeAutospacing="0" w:after="0" w:afterAutospacing="0" w:line="360" w:lineRule="auto"/>
        <w:ind w:firstLine="420"/>
      </w:pPr>
      <w:r>
        <w:t>闪烁探测器的主要组成部分有闪烁体、光学收集系统、光电倍增管（或其它光电器件）以及给光电倍增管各电极供电的分压器。它们被封闭在一个不透光的暗盒里，统称为探头，如图2示。</w:t>
      </w:r>
    </w:p>
    <w:p w14:paraId="65F37BF4">
      <w:pPr>
        <w:pStyle w:val="7"/>
        <w:spacing w:before="0" w:beforeAutospacing="0" w:after="0" w:afterAutospacing="0" w:line="360" w:lineRule="auto"/>
        <w:jc w:val="center"/>
      </w:pPr>
      <w:r>
        <w:drawing>
          <wp:inline distT="0" distB="0" distL="0" distR="0">
            <wp:extent cx="4295775" cy="2277745"/>
            <wp:effectExtent l="0" t="0" r="22225" b="8255"/>
            <wp:docPr id="13" name="图片 13" descr="https://p.ananas.chaoxing.com/star3/origin/8a0ab8f80b171f0c4543a657aa55e4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p.ananas.chaoxing.com/star3/origin/8a0ab8f80b171f0c4543a657aa55e4e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95775" cy="2277745"/>
                    </a:xfrm>
                    <a:prstGeom prst="rect">
                      <a:avLst/>
                    </a:prstGeom>
                    <a:noFill/>
                    <a:ln>
                      <a:noFill/>
                    </a:ln>
                  </pic:spPr>
                </pic:pic>
              </a:graphicData>
            </a:graphic>
          </wp:inline>
        </w:drawing>
      </w:r>
    </w:p>
    <w:p w14:paraId="651A0886">
      <w:pPr>
        <w:pStyle w:val="7"/>
        <w:spacing w:before="0" w:beforeAutospacing="0" w:after="0" w:afterAutospacing="0" w:line="360" w:lineRule="auto"/>
        <w:ind w:firstLine="480"/>
      </w:pPr>
      <w:r>
        <w:t> 闪烁探测器的工作原理</w:t>
      </w:r>
      <w:r>
        <w:rPr>
          <w:rFonts w:hint="eastAsia"/>
        </w:rPr>
        <w:t>详见</w:t>
      </w:r>
      <w:r>
        <w:rPr>
          <w:rFonts w:hint="eastAsia"/>
          <w:b/>
        </w:rPr>
        <w:t>实验一</w:t>
      </w:r>
      <w:r>
        <w:t>。</w:t>
      </w:r>
    </w:p>
    <w:p w14:paraId="77E77C0E">
      <w:pPr>
        <w:pStyle w:val="7"/>
        <w:spacing w:before="0" w:beforeAutospacing="0" w:after="0" w:afterAutospacing="0" w:line="360" w:lineRule="auto"/>
        <w:ind w:firstLine="420"/>
        <w:jc w:val="center"/>
      </w:pPr>
      <w:r>
        <w:drawing>
          <wp:inline distT="0" distB="0" distL="0" distR="0">
            <wp:extent cx="2609215" cy="3481705"/>
            <wp:effectExtent l="0" t="0" r="6985" b="23495"/>
            <wp:docPr id="9" name="图片 9" descr="https://p.ananas.chaoxing.com/star3/origin/c80260357cd4b56edfdbc35117df25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p.ananas.chaoxing.com/star3/origin/c80260357cd4b56edfdbc35117df25d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09215" cy="3481705"/>
                    </a:xfrm>
                    <a:prstGeom prst="rect">
                      <a:avLst/>
                    </a:prstGeom>
                    <a:noFill/>
                    <a:ln>
                      <a:noFill/>
                    </a:ln>
                  </pic:spPr>
                </pic:pic>
              </a:graphicData>
            </a:graphic>
          </wp:inline>
        </w:drawing>
      </w:r>
    </w:p>
    <w:p w14:paraId="1766BF0B">
      <w:pPr>
        <w:pStyle w:val="7"/>
        <w:spacing w:before="0" w:beforeAutospacing="0" w:after="0" w:afterAutospacing="0" w:line="360" w:lineRule="auto"/>
        <w:ind w:firstLine="420"/>
        <w:jc w:val="center"/>
      </w:pPr>
      <w:r>
        <w:t>图</w:t>
      </w:r>
      <w:r>
        <w:rPr>
          <w:rFonts w:hint="eastAsia"/>
        </w:rPr>
        <w:t>3</w:t>
      </w:r>
      <w:r>
        <w:t xml:space="preserve"> 闪烁探头实物图</w:t>
      </w:r>
    </w:p>
    <w:p w14:paraId="4A9581E0">
      <w:pPr>
        <w:pStyle w:val="7"/>
        <w:spacing w:before="0" w:beforeAutospacing="0" w:after="0" w:afterAutospacing="0" w:line="360" w:lineRule="auto"/>
        <w:ind w:firstLine="480"/>
      </w:pPr>
      <w:r>
        <w:t>3、放大器</w:t>
      </w:r>
    </w:p>
    <w:p w14:paraId="63A50831">
      <w:pPr>
        <w:pStyle w:val="7"/>
        <w:spacing w:before="0" w:beforeAutospacing="0" w:after="0" w:afterAutospacing="0" w:line="360" w:lineRule="auto"/>
        <w:ind w:firstLine="480"/>
      </w:pPr>
      <w:r>
        <w:t>（1）前置放大器</w:t>
      </w:r>
    </w:p>
    <w:p w14:paraId="20D84D8F">
      <w:pPr>
        <w:pStyle w:val="7"/>
        <w:spacing w:before="0" w:beforeAutospacing="0" w:after="0" w:afterAutospacing="0" w:line="360" w:lineRule="auto"/>
        <w:ind w:firstLine="480"/>
      </w:pPr>
      <w:r>
        <w:t>通常与探头封装在一起。</w:t>
      </w:r>
    </w:p>
    <w:p w14:paraId="38D4E4A5">
      <w:pPr>
        <w:pStyle w:val="7"/>
        <w:spacing w:before="0" w:beforeAutospacing="0" w:after="0" w:afterAutospacing="0" w:line="360" w:lineRule="auto"/>
        <w:ind w:firstLine="480"/>
      </w:pPr>
      <w:r>
        <w:rPr>
          <w:rStyle w:val="10"/>
          <w:color w:val="00B0F0"/>
        </w:rPr>
        <w:t>作用：</w:t>
      </w:r>
      <w:r>
        <w:t>①实现阻抗转换；②实现放大功能</w:t>
      </w:r>
    </w:p>
    <w:p w14:paraId="2E2926C1">
      <w:pPr>
        <w:pStyle w:val="7"/>
        <w:spacing w:before="0" w:beforeAutospacing="0" w:after="0" w:afterAutospacing="0" w:line="360" w:lineRule="auto"/>
        <w:ind w:firstLine="480"/>
        <w:jc w:val="center"/>
      </w:pPr>
      <w:r>
        <w:drawing>
          <wp:inline distT="0" distB="0" distL="0" distR="0">
            <wp:extent cx="1900555" cy="1670050"/>
            <wp:effectExtent l="0" t="0" r="4445" b="6350"/>
            <wp:docPr id="8" name="图片 8" descr="https://p.ananas.chaoxing.com/star3/origin/4cf49d60529e3b62c07325be7f8e33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p.ananas.chaoxing.com/star3/origin/4cf49d60529e3b62c07325be7f8e33b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0555" cy="1670050"/>
                    </a:xfrm>
                    <a:prstGeom prst="rect">
                      <a:avLst/>
                    </a:prstGeom>
                    <a:noFill/>
                    <a:ln>
                      <a:noFill/>
                    </a:ln>
                  </pic:spPr>
                </pic:pic>
              </a:graphicData>
            </a:graphic>
          </wp:inline>
        </w:drawing>
      </w:r>
    </w:p>
    <w:p w14:paraId="46450C0C">
      <w:pPr>
        <w:pStyle w:val="7"/>
        <w:spacing w:before="0" w:beforeAutospacing="0" w:after="0" w:afterAutospacing="0" w:line="360" w:lineRule="auto"/>
        <w:ind w:firstLine="480"/>
        <w:jc w:val="center"/>
      </w:pPr>
      <w:r>
        <w:rPr>
          <w:rFonts w:hint="eastAsia"/>
        </w:rPr>
        <w:t>图4 前置放大器</w:t>
      </w:r>
    </w:p>
    <w:p w14:paraId="76583B7B">
      <w:pPr>
        <w:pStyle w:val="7"/>
        <w:spacing w:before="0" w:beforeAutospacing="0" w:after="0" w:afterAutospacing="0" w:line="360" w:lineRule="auto"/>
        <w:ind w:firstLine="480"/>
      </w:pPr>
      <w:r>
        <w:rPr>
          <w:rStyle w:val="10"/>
          <w:color w:val="00B0F0"/>
        </w:rPr>
        <w:t>类型：</w:t>
      </w:r>
    </w:p>
    <w:p w14:paraId="6B62B5B4">
      <w:pPr>
        <w:pStyle w:val="7"/>
        <w:spacing w:before="0" w:beforeAutospacing="0" w:after="0" w:afterAutospacing="0" w:line="360" w:lineRule="auto"/>
        <w:ind w:firstLine="480"/>
      </w:pPr>
      <w:r>
        <w:t>①电压灵敏前置放大器</w:t>
      </w:r>
    </w:p>
    <w:p w14:paraId="695C8A35">
      <w:pPr>
        <w:pStyle w:val="7"/>
        <w:spacing w:before="0" w:beforeAutospacing="0" w:after="0" w:afterAutospacing="0" w:line="360" w:lineRule="auto"/>
        <w:ind w:firstLine="480"/>
        <w:jc w:val="center"/>
      </w:pPr>
      <w:r>
        <w:drawing>
          <wp:inline distT="0" distB="0" distL="0" distR="0">
            <wp:extent cx="3378835" cy="1355090"/>
            <wp:effectExtent l="0" t="0" r="0" b="0"/>
            <wp:docPr id="7" name="图片 7" descr="https://p.ananas.chaoxing.com/star3/origin/dd423ae36fff00fccbe950590de4cb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p.ananas.chaoxing.com/star3/origin/dd423ae36fff00fccbe950590de4cb3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79076" cy="1355388"/>
                    </a:xfrm>
                    <a:prstGeom prst="rect">
                      <a:avLst/>
                    </a:prstGeom>
                    <a:noFill/>
                    <a:ln>
                      <a:noFill/>
                    </a:ln>
                  </pic:spPr>
                </pic:pic>
              </a:graphicData>
            </a:graphic>
          </wp:inline>
        </w:drawing>
      </w:r>
    </w:p>
    <w:p w14:paraId="247FF31E">
      <w:pPr>
        <w:pStyle w:val="7"/>
        <w:spacing w:before="0" w:beforeAutospacing="0" w:after="0" w:afterAutospacing="0" w:line="360" w:lineRule="auto"/>
        <w:ind w:firstLine="480"/>
        <w:jc w:val="center"/>
      </w:pPr>
      <w:r>
        <w:rPr>
          <w:rFonts w:hint="eastAsia"/>
        </w:rPr>
        <w:t>图5</w:t>
      </w:r>
      <w:r>
        <w:t>电压灵敏前置放大器</w:t>
      </w:r>
    </w:p>
    <w:p w14:paraId="3A6A83DC">
      <w:pPr>
        <w:pStyle w:val="7"/>
        <w:spacing w:before="0" w:beforeAutospacing="0" w:after="0" w:afterAutospacing="0" w:line="360" w:lineRule="auto"/>
        <w:ind w:firstLine="480"/>
      </w:pPr>
      <w:r>
        <w:t>②电荷灵敏前置放大器</w:t>
      </w:r>
    </w:p>
    <w:p w14:paraId="23D4FFBE">
      <w:pPr>
        <w:pStyle w:val="7"/>
        <w:spacing w:before="0" w:beforeAutospacing="0" w:after="0" w:afterAutospacing="0" w:line="360" w:lineRule="auto"/>
        <w:ind w:firstLine="480"/>
        <w:jc w:val="center"/>
      </w:pPr>
      <w:r>
        <w:drawing>
          <wp:inline distT="0" distB="0" distL="0" distR="0">
            <wp:extent cx="3374390" cy="1701165"/>
            <wp:effectExtent l="0" t="0" r="0" b="0"/>
            <wp:docPr id="6" name="图片 6" descr="https://p.ananas.chaoxing.com/star3/origin/06170a9d54042e25a205fa586a9c05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p.ananas.chaoxing.com/star3/origin/06170a9d54042e25a205fa586a9c05c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74792" cy="1701285"/>
                    </a:xfrm>
                    <a:prstGeom prst="rect">
                      <a:avLst/>
                    </a:prstGeom>
                    <a:noFill/>
                    <a:ln>
                      <a:noFill/>
                    </a:ln>
                  </pic:spPr>
                </pic:pic>
              </a:graphicData>
            </a:graphic>
          </wp:inline>
        </w:drawing>
      </w:r>
    </w:p>
    <w:p w14:paraId="15A26D27">
      <w:pPr>
        <w:pStyle w:val="7"/>
        <w:spacing w:before="0" w:beforeAutospacing="0" w:after="0" w:afterAutospacing="0" w:line="360" w:lineRule="auto"/>
        <w:ind w:firstLine="480"/>
        <w:jc w:val="center"/>
      </w:pPr>
      <w:r>
        <w:rPr>
          <w:rFonts w:hint="eastAsia"/>
        </w:rPr>
        <w:t>图6</w:t>
      </w:r>
      <w:r>
        <w:t>电荷灵敏前置放大器</w:t>
      </w:r>
    </w:p>
    <w:p w14:paraId="0B5D17EA">
      <w:pPr>
        <w:pStyle w:val="7"/>
        <w:spacing w:before="0" w:beforeAutospacing="0" w:after="0" w:afterAutospacing="0" w:line="360" w:lineRule="auto"/>
        <w:ind w:firstLine="480"/>
      </w:pPr>
      <w:r>
        <w:t>③电流灵敏前置放大器</w:t>
      </w:r>
    </w:p>
    <w:p w14:paraId="049C08CF">
      <w:pPr>
        <w:pStyle w:val="7"/>
        <w:spacing w:before="0" w:beforeAutospacing="0" w:after="0" w:afterAutospacing="0" w:line="360" w:lineRule="auto"/>
        <w:ind w:firstLine="480"/>
      </w:pPr>
      <w:r>
        <w:t>（2）主放大器</w:t>
      </w:r>
    </w:p>
    <w:p w14:paraId="0FFBB866">
      <w:pPr>
        <w:pStyle w:val="7"/>
        <w:spacing w:before="0" w:beforeAutospacing="0" w:after="0" w:afterAutospacing="0" w:line="360" w:lineRule="auto"/>
        <w:ind w:firstLine="480"/>
      </w:pPr>
      <w:r>
        <w:rPr>
          <w:rStyle w:val="10"/>
          <w:color w:val="00B0F0"/>
        </w:rPr>
        <w:t>功能：</w:t>
      </w:r>
    </w:p>
    <w:p w14:paraId="2B02B7C5">
      <w:pPr>
        <w:pStyle w:val="7"/>
        <w:spacing w:before="0" w:beforeAutospacing="0" w:after="0" w:afterAutospacing="0" w:line="360" w:lineRule="auto"/>
        <w:ind w:firstLine="480"/>
      </w:pPr>
      <w:r>
        <w:rPr>
          <w:color w:val="000000"/>
        </w:rPr>
        <w:t>第一就是放大功能；</w:t>
      </w:r>
    </w:p>
    <w:p w14:paraId="569FF30A">
      <w:pPr>
        <w:pStyle w:val="7"/>
        <w:spacing w:before="0" w:beforeAutospacing="0" w:after="0" w:afterAutospacing="0" w:line="360" w:lineRule="auto"/>
        <w:ind w:firstLine="480"/>
      </w:pPr>
      <w:r>
        <w:rPr>
          <w:color w:val="000000"/>
        </w:rPr>
        <w:t>第二就是脉冲成形功能；</w:t>
      </w:r>
    </w:p>
    <w:p w14:paraId="2312D7C7">
      <w:pPr>
        <w:pStyle w:val="7"/>
        <w:spacing w:before="0" w:beforeAutospacing="0" w:after="0" w:afterAutospacing="0" w:line="360" w:lineRule="auto"/>
        <w:ind w:firstLine="480"/>
        <w:jc w:val="center"/>
      </w:pPr>
      <w:r>
        <w:rPr>
          <w:color w:val="000000"/>
        </w:rPr>
        <w:drawing>
          <wp:inline distT="0" distB="0" distL="0" distR="0">
            <wp:extent cx="2131695" cy="3401060"/>
            <wp:effectExtent l="0" t="0" r="1905" b="8890"/>
            <wp:docPr id="5" name="图片 5" descr="https://p.ananas.chaoxing.com/star3/origin/7ca9cb3845071852362679d954fa61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p.ananas.chaoxing.com/star3/origin/7ca9cb3845071852362679d954fa61d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33082" cy="3402975"/>
                    </a:xfrm>
                    <a:prstGeom prst="rect">
                      <a:avLst/>
                    </a:prstGeom>
                    <a:noFill/>
                    <a:ln>
                      <a:noFill/>
                    </a:ln>
                  </pic:spPr>
                </pic:pic>
              </a:graphicData>
            </a:graphic>
          </wp:inline>
        </w:drawing>
      </w:r>
      <w:r>
        <w:rPr>
          <w:color w:val="000000"/>
        </w:rPr>
        <w:br w:type="textWrapping"/>
      </w:r>
      <w:r>
        <w:rPr>
          <w:rFonts w:hint="eastAsia"/>
        </w:rPr>
        <w:t>图7 放大器</w:t>
      </w:r>
    </w:p>
    <w:p w14:paraId="20766B6C">
      <w:pPr>
        <w:pStyle w:val="7"/>
        <w:spacing w:before="0" w:beforeAutospacing="0" w:after="0" w:afterAutospacing="0" w:line="360" w:lineRule="auto"/>
        <w:ind w:firstLine="480"/>
      </w:pPr>
      <w:r>
        <w:rPr>
          <w:rStyle w:val="10"/>
          <w:color w:val="00B0F0"/>
        </w:rPr>
        <w:t>脉冲成型方式：</w:t>
      </w:r>
    </w:p>
    <w:p w14:paraId="198DCC26">
      <w:pPr>
        <w:pStyle w:val="7"/>
        <w:spacing w:before="0" w:beforeAutospacing="0" w:after="0" w:afterAutospacing="0" w:line="360" w:lineRule="auto"/>
        <w:ind w:firstLine="480"/>
      </w:pPr>
      <w:r>
        <w:t>CR微分成形电路；</w:t>
      </w:r>
    </w:p>
    <w:p w14:paraId="5C166686">
      <w:pPr>
        <w:pStyle w:val="7"/>
        <w:spacing w:before="0" w:beforeAutospacing="0" w:after="0" w:afterAutospacing="0" w:line="360" w:lineRule="auto"/>
        <w:ind w:firstLine="480"/>
      </w:pPr>
      <w:r>
        <w:t>RC积分成形电路</w:t>
      </w:r>
    </w:p>
    <w:p w14:paraId="262A1B21">
      <w:pPr>
        <w:pStyle w:val="7"/>
        <w:spacing w:before="0" w:beforeAutospacing="0" w:after="0" w:afterAutospacing="0" w:line="360" w:lineRule="auto"/>
        <w:ind w:firstLine="480"/>
      </w:pPr>
      <w:r>
        <w:t>4、单道幅度分析器</w:t>
      </w:r>
    </w:p>
    <w:p w14:paraId="00AB2F98">
      <w:pPr>
        <w:pStyle w:val="7"/>
        <w:spacing w:before="0" w:beforeAutospacing="0" w:after="0" w:afterAutospacing="0" w:line="360" w:lineRule="auto"/>
        <w:ind w:firstLine="480"/>
      </w:pPr>
      <w:r>
        <w:t>选择电压幅度上下域之间的信号进行记录</w:t>
      </w:r>
    </w:p>
    <w:p w14:paraId="5BB0288D">
      <w:pPr>
        <w:pStyle w:val="7"/>
        <w:spacing w:before="0" w:beforeAutospacing="0" w:after="0" w:afterAutospacing="0" w:line="360" w:lineRule="auto"/>
        <w:ind w:firstLine="480"/>
        <w:jc w:val="center"/>
      </w:pPr>
      <w:r>
        <w:drawing>
          <wp:inline distT="0" distB="0" distL="0" distR="0">
            <wp:extent cx="4763135" cy="2059305"/>
            <wp:effectExtent l="0" t="0" r="0" b="0"/>
            <wp:docPr id="4" name="图片 4" descr="https://p.ananas.chaoxing.com/star3/origin/e86e9946c1673709f9e0fbd4e2c839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p.ananas.chaoxing.com/star3/origin/e86e9946c1673709f9e0fbd4e2c8392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63135" cy="2059305"/>
                    </a:xfrm>
                    <a:prstGeom prst="rect">
                      <a:avLst/>
                    </a:prstGeom>
                    <a:noFill/>
                    <a:ln>
                      <a:noFill/>
                    </a:ln>
                  </pic:spPr>
                </pic:pic>
              </a:graphicData>
            </a:graphic>
          </wp:inline>
        </w:drawing>
      </w:r>
    </w:p>
    <w:p w14:paraId="59B9635A">
      <w:pPr>
        <w:pStyle w:val="7"/>
        <w:spacing w:before="0" w:beforeAutospacing="0" w:after="0" w:afterAutospacing="0" w:line="360" w:lineRule="auto"/>
        <w:ind w:firstLine="480"/>
        <w:jc w:val="center"/>
      </w:pPr>
      <w:r>
        <w:drawing>
          <wp:inline distT="0" distB="0" distL="0" distR="0">
            <wp:extent cx="2002155" cy="3760470"/>
            <wp:effectExtent l="0" t="0" r="0" b="0"/>
            <wp:docPr id="3" name="图片 3" descr="https://p.ananas.chaoxing.com/star3/origin/f0d300deb7839f934f48680941cf37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p.ananas.chaoxing.com/star3/origin/f0d300deb7839f934f48680941cf37d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003160" cy="3762849"/>
                    </a:xfrm>
                    <a:prstGeom prst="rect">
                      <a:avLst/>
                    </a:prstGeom>
                    <a:noFill/>
                    <a:ln>
                      <a:noFill/>
                    </a:ln>
                  </pic:spPr>
                </pic:pic>
              </a:graphicData>
            </a:graphic>
          </wp:inline>
        </w:drawing>
      </w:r>
    </w:p>
    <w:p w14:paraId="2C99A90C">
      <w:pPr>
        <w:pStyle w:val="7"/>
        <w:spacing w:before="0" w:beforeAutospacing="0" w:after="0" w:afterAutospacing="0" w:line="360" w:lineRule="auto"/>
        <w:ind w:firstLine="480"/>
        <w:jc w:val="center"/>
      </w:pPr>
      <w:r>
        <w:rPr>
          <w:rFonts w:hint="eastAsia"/>
        </w:rPr>
        <w:t>图8 单道</w:t>
      </w:r>
    </w:p>
    <w:p w14:paraId="1F320932">
      <w:pPr>
        <w:pStyle w:val="7"/>
        <w:spacing w:before="0" w:beforeAutospacing="0" w:after="0" w:afterAutospacing="0" w:line="360" w:lineRule="auto"/>
        <w:ind w:firstLine="480"/>
      </w:pPr>
      <w:r>
        <w:t>5、定标器</w:t>
      </w:r>
    </w:p>
    <w:p w14:paraId="0B52FAF5">
      <w:pPr>
        <w:pStyle w:val="7"/>
        <w:spacing w:before="0" w:beforeAutospacing="0" w:after="0" w:afterAutospacing="0" w:line="360" w:lineRule="auto"/>
        <w:ind w:firstLine="480"/>
      </w:pPr>
      <w:r>
        <w:t>计数器——测量某一时间间隔内的脉冲数</w:t>
      </w:r>
    </w:p>
    <w:p w14:paraId="768BC8D8">
      <w:pPr>
        <w:pStyle w:val="7"/>
        <w:spacing w:before="0" w:beforeAutospacing="0" w:after="0" w:afterAutospacing="0" w:line="360" w:lineRule="auto"/>
        <w:ind w:firstLine="480"/>
        <w:jc w:val="center"/>
      </w:pPr>
      <w:r>
        <w:drawing>
          <wp:inline distT="0" distB="0" distL="0" distR="0">
            <wp:extent cx="3411855" cy="3239770"/>
            <wp:effectExtent l="0" t="0" r="0" b="0"/>
            <wp:docPr id="2" name="图片 2" descr="https://p.ananas.chaoxing.com/star3/origin/b96664b6f6f8768724f26d5bef0ffa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p.ananas.chaoxing.com/star3/origin/b96664b6f6f8768724f26d5bef0ffa9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12029" cy="3240000"/>
                    </a:xfrm>
                    <a:prstGeom prst="rect">
                      <a:avLst/>
                    </a:prstGeom>
                    <a:noFill/>
                    <a:ln>
                      <a:noFill/>
                    </a:ln>
                  </pic:spPr>
                </pic:pic>
              </a:graphicData>
            </a:graphic>
          </wp:inline>
        </w:drawing>
      </w:r>
    </w:p>
    <w:p w14:paraId="025DB452">
      <w:pPr>
        <w:pStyle w:val="7"/>
        <w:spacing w:before="0" w:beforeAutospacing="0" w:after="0" w:afterAutospacing="0" w:line="360" w:lineRule="auto"/>
        <w:ind w:firstLine="480"/>
        <w:jc w:val="center"/>
      </w:pPr>
      <w:r>
        <w:rPr>
          <w:rFonts w:hint="eastAsia"/>
        </w:rPr>
        <w:t>图9 定标器</w:t>
      </w:r>
    </w:p>
    <w:p w14:paraId="2CD2270C">
      <w:pPr>
        <w:pStyle w:val="7"/>
        <w:spacing w:before="0" w:beforeAutospacing="0" w:after="0" w:afterAutospacing="0" w:line="360" w:lineRule="auto"/>
        <w:ind w:firstLine="480"/>
      </w:pPr>
      <w:r>
        <w:t>6、直流高压电源</w:t>
      </w:r>
    </w:p>
    <w:p w14:paraId="11096EB7">
      <w:pPr>
        <w:pStyle w:val="7"/>
        <w:spacing w:before="0" w:beforeAutospacing="0" w:after="0" w:afterAutospacing="0" w:line="360" w:lineRule="auto"/>
        <w:ind w:firstLine="480"/>
      </w:pPr>
      <w:r>
        <w:t>国产NIM标准核仪器插件有三种规格调节范围：</w:t>
      </w:r>
    </w:p>
    <w:p w14:paraId="02FA0714">
      <w:pPr>
        <w:pStyle w:val="7"/>
        <w:spacing w:before="0" w:beforeAutospacing="0" w:after="0" w:afterAutospacing="0" w:line="360" w:lineRule="auto"/>
        <w:ind w:firstLine="480"/>
      </w:pPr>
      <w:r>
        <w:t>500～1500V；0～3000V；0～5000V</w:t>
      </w:r>
    </w:p>
    <w:p w14:paraId="3F8C8FA0">
      <w:pPr>
        <w:pStyle w:val="7"/>
        <w:spacing w:before="0" w:beforeAutospacing="0" w:after="0" w:afterAutospacing="0" w:line="360" w:lineRule="auto"/>
        <w:ind w:firstLine="480"/>
      </w:pPr>
      <w:r>
        <w:t>一般要求有 500～1500V</w:t>
      </w:r>
    </w:p>
    <w:p w14:paraId="150D24B5">
      <w:pPr>
        <w:pStyle w:val="7"/>
        <w:spacing w:before="0" w:beforeAutospacing="0" w:after="0" w:afterAutospacing="0" w:line="360" w:lineRule="auto"/>
        <w:ind w:firstLine="480"/>
        <w:jc w:val="center"/>
      </w:pPr>
      <w:r>
        <w:drawing>
          <wp:inline distT="0" distB="0" distL="0" distR="0">
            <wp:extent cx="2043430" cy="2597785"/>
            <wp:effectExtent l="0" t="0" r="13970" b="18415"/>
            <wp:docPr id="1" name="图片 1" descr="https://p.ananas.chaoxing.com/star3/origin/aba966b0432ca6aca3dcbd7116d28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p.ananas.chaoxing.com/star3/origin/aba966b0432ca6aca3dcbd7116d289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43430" cy="2597785"/>
                    </a:xfrm>
                    <a:prstGeom prst="rect">
                      <a:avLst/>
                    </a:prstGeom>
                    <a:noFill/>
                    <a:ln>
                      <a:noFill/>
                    </a:ln>
                  </pic:spPr>
                </pic:pic>
              </a:graphicData>
            </a:graphic>
          </wp:inline>
        </w:drawing>
      </w:r>
    </w:p>
    <w:p w14:paraId="248B4BBB">
      <w:pPr>
        <w:pStyle w:val="7"/>
        <w:spacing w:before="0" w:beforeAutospacing="0" w:after="0" w:afterAutospacing="0" w:line="360" w:lineRule="auto"/>
        <w:ind w:firstLine="480"/>
        <w:jc w:val="center"/>
      </w:pPr>
      <w:r>
        <w:rPr>
          <w:rFonts w:hint="eastAsia"/>
        </w:rPr>
        <w:t>图10</w:t>
      </w:r>
    </w:p>
    <w:p w14:paraId="589A902A">
      <w:pPr>
        <w:pStyle w:val="7"/>
        <w:spacing w:before="0" w:beforeAutospacing="0" w:after="0" w:afterAutospacing="0" w:line="360" w:lineRule="auto"/>
        <w:rPr>
          <w:b/>
        </w:rPr>
      </w:pPr>
      <w:r>
        <w:rPr>
          <w:rFonts w:hint="eastAsia"/>
          <w:b/>
        </w:rPr>
        <w:t>二、多道射线能谱测量系统</w:t>
      </w:r>
    </w:p>
    <w:p w14:paraId="23CBF789">
      <w:pPr>
        <w:autoSpaceDE w:val="0"/>
        <w:autoSpaceDN w:val="0"/>
        <w:adjustRightInd w:val="0"/>
        <w:spacing w:line="360" w:lineRule="auto"/>
        <w:jc w:val="left"/>
        <w:rPr>
          <w:rFonts w:ascii="宋体" w:eastAsia="宋体" w:cs="宋体"/>
          <w:kern w:val="0"/>
          <w:sz w:val="24"/>
          <w:szCs w:val="24"/>
        </w:rPr>
      </w:pPr>
      <w:r>
        <w:rPr>
          <w:rFonts w:hint="eastAsia" w:ascii="TimesNewRomanPSMT" w:cs="TimesNewRomanPSMT"/>
          <w:kern w:val="0"/>
          <w:sz w:val="24"/>
          <w:szCs w:val="24"/>
        </w:rPr>
        <w:t>1、多道脉冲幅度分析器原理图</w:t>
      </w:r>
      <w:r>
        <w:rPr>
          <w:rFonts w:hint="eastAsia" w:ascii="宋体" w:eastAsia="宋体" w:cs="宋体"/>
          <w:kern w:val="0"/>
          <w:sz w:val="24"/>
          <w:szCs w:val="24"/>
        </w:rPr>
        <w:t>如图</w:t>
      </w:r>
      <w:r>
        <w:rPr>
          <w:rFonts w:hint="eastAsia" w:ascii="TimesNewRomanPSMT" w:eastAsia="宋体" w:cs="TimesNewRomanPSMT"/>
          <w:kern w:val="0"/>
          <w:sz w:val="24"/>
          <w:szCs w:val="24"/>
          <w:lang w:val="en-US" w:eastAsia="zh-CN"/>
        </w:rPr>
        <w:t>11</w:t>
      </w:r>
      <w:r>
        <w:rPr>
          <w:rFonts w:hint="eastAsia" w:ascii="宋体" w:eastAsia="宋体" w:cs="宋体"/>
          <w:kern w:val="0"/>
          <w:sz w:val="24"/>
          <w:szCs w:val="24"/>
        </w:rPr>
        <w:t>所示，由</w:t>
      </w:r>
      <w:r>
        <w:rPr>
          <w:rFonts w:ascii="TimesNewRomanPSMT" w:eastAsia="TimesNewRomanPSMT" w:cs="TimesNewRomanPSMT"/>
          <w:kern w:val="0"/>
          <w:sz w:val="24"/>
          <w:szCs w:val="24"/>
        </w:rPr>
        <w:t>NaI</w:t>
      </w:r>
      <w:r>
        <w:rPr>
          <w:rFonts w:hint="eastAsia" w:ascii="宋体" w:eastAsia="宋体" w:cs="宋体"/>
          <w:kern w:val="0"/>
          <w:sz w:val="24"/>
          <w:szCs w:val="24"/>
        </w:rPr>
        <w:t>（</w:t>
      </w:r>
      <w:r>
        <w:rPr>
          <w:rFonts w:ascii="TimesNewRomanPSMT" w:eastAsia="TimesNewRomanPSMT" w:cs="TimesNewRomanPSMT"/>
          <w:kern w:val="0"/>
          <w:sz w:val="24"/>
          <w:szCs w:val="24"/>
        </w:rPr>
        <w:t>Tl</w:t>
      </w:r>
      <w:r>
        <w:rPr>
          <w:rFonts w:hint="eastAsia" w:ascii="宋体" w:eastAsia="宋体" w:cs="宋体"/>
          <w:kern w:val="0"/>
          <w:sz w:val="24"/>
          <w:szCs w:val="24"/>
        </w:rPr>
        <w:t>）闪烁晶体探头、多道脉冲幅度分析器和计算机组成。</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能谱仪主要是由射线探测器和电子学系统两大部分组成。</w:t>
      </w:r>
    </w:p>
    <w:p w14:paraId="3D81AC89">
      <w:pPr>
        <w:autoSpaceDE w:val="0"/>
        <w:autoSpaceDN w:val="0"/>
        <w:adjustRightInd w:val="0"/>
        <w:spacing w:line="360" w:lineRule="auto"/>
        <w:jc w:val="left"/>
        <w:rPr>
          <w:sz w:val="24"/>
          <w:szCs w:val="24"/>
        </w:rPr>
      </w:pPr>
      <w:r>
        <w:rPr>
          <w:sz w:val="24"/>
          <w:szCs w:val="24"/>
        </w:rPr>
        <w:drawing>
          <wp:inline distT="0" distB="0" distL="0" distR="0">
            <wp:extent cx="5267960" cy="1351280"/>
            <wp:effectExtent l="0" t="0" r="0" b="1270"/>
            <wp:docPr id="16" name="图片 16" descr="C:\Users\zou\Documents\WeChat Files\wxid_6519125190912\FileStorage\Temp\1669048361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zou\Documents\WeChat Files\wxid_6519125190912\FileStorage\Temp\1669048361032.png"/>
                    <pic:cNvPicPr>
                      <a:picLocks noChangeAspect="1" noChangeArrowheads="1"/>
                    </pic:cNvPicPr>
                  </pic:nvPicPr>
                  <pic:blipFill>
                    <a:blip r:embed="rId17">
                      <a:extLst>
                        <a:ext uri="{28A0092B-C50C-407E-A947-70E740481C1C}">
                          <a14:useLocalDpi xmlns:a14="http://schemas.microsoft.com/office/drawing/2010/main" val="0"/>
                        </a:ext>
                      </a:extLst>
                    </a:blip>
                    <a:srcRect b="17073"/>
                    <a:stretch>
                      <a:fillRect/>
                    </a:stretch>
                  </pic:blipFill>
                  <pic:spPr>
                    <a:xfrm>
                      <a:off x="0" y="0"/>
                      <a:ext cx="5274310" cy="1353228"/>
                    </a:xfrm>
                    <a:prstGeom prst="rect">
                      <a:avLst/>
                    </a:prstGeom>
                    <a:noFill/>
                    <a:ln>
                      <a:noFill/>
                    </a:ln>
                  </pic:spPr>
                </pic:pic>
              </a:graphicData>
            </a:graphic>
          </wp:inline>
        </w:drawing>
      </w:r>
    </w:p>
    <w:p w14:paraId="00DEE8CD">
      <w:pPr>
        <w:autoSpaceDE w:val="0"/>
        <w:autoSpaceDN w:val="0"/>
        <w:adjustRightInd w:val="0"/>
        <w:spacing w:line="360" w:lineRule="auto"/>
        <w:jc w:val="center"/>
        <w:rPr>
          <w:sz w:val="24"/>
          <w:szCs w:val="24"/>
        </w:rPr>
      </w:pPr>
      <w:r>
        <w:rPr>
          <w:rFonts w:hint="eastAsia"/>
          <w:sz w:val="24"/>
          <w:szCs w:val="24"/>
        </w:rPr>
        <w:t xml:space="preserve">图11 </w:t>
      </w:r>
      <w:r>
        <w:rPr>
          <w:rFonts w:hint="eastAsia" w:ascii="TimesNewRomanPSMT" w:cs="TimesNewRomanPSMT"/>
          <w:kern w:val="0"/>
          <w:sz w:val="24"/>
          <w:szCs w:val="24"/>
        </w:rPr>
        <w:t>多道脉冲幅度分析器原理图</w:t>
      </w:r>
    </w:p>
    <w:p w14:paraId="142CC8EB">
      <w:pPr>
        <w:autoSpaceDE w:val="0"/>
        <w:autoSpaceDN w:val="0"/>
        <w:adjustRightInd w:val="0"/>
        <w:spacing w:line="360" w:lineRule="auto"/>
        <w:jc w:val="left"/>
        <w:rPr>
          <w:rFonts w:ascii="宋体" w:eastAsia="宋体" w:cs="宋体"/>
          <w:kern w:val="0"/>
          <w:sz w:val="24"/>
          <w:szCs w:val="24"/>
        </w:rPr>
      </w:pPr>
      <w:r>
        <w:rPr>
          <w:rFonts w:hint="eastAsia" w:ascii="TimesNewRomanPSMT" w:cs="TimesNewRomanPSMT"/>
          <w:kern w:val="0"/>
          <w:sz w:val="24"/>
          <w:szCs w:val="24"/>
        </w:rPr>
        <w:t>2、</w:t>
      </w:r>
      <w:r>
        <w:rPr>
          <w:rFonts w:hint="eastAsia" w:ascii="TimesNewRomanPSMT" w:eastAsia="TimesNewRomanPSMT" w:cs="TimesNewRomanPSMT"/>
          <w:kern w:val="0"/>
          <w:sz w:val="24"/>
          <w:szCs w:val="24"/>
        </w:rPr>
        <w:t>γ</w:t>
      </w:r>
      <w:r>
        <w:rPr>
          <w:rFonts w:hint="eastAsia" w:ascii="宋体" w:eastAsia="宋体" w:cs="宋体"/>
          <w:kern w:val="0"/>
          <w:sz w:val="24"/>
          <w:szCs w:val="24"/>
        </w:rPr>
        <w:t>射线与物质作用的三种效应对于物质原子的原子序数</w:t>
      </w:r>
      <w:r>
        <w:rPr>
          <w:rFonts w:ascii="TimesNewRomanPSMT" w:eastAsia="TimesNewRomanPSMT" w:cs="TimesNewRomanPSMT"/>
          <w:kern w:val="0"/>
          <w:sz w:val="24"/>
          <w:szCs w:val="24"/>
        </w:rPr>
        <w:t>Z</w:t>
      </w:r>
      <w:r>
        <w:rPr>
          <w:rFonts w:hint="eastAsia" w:ascii="宋体" w:eastAsia="宋体" w:cs="宋体"/>
          <w:kern w:val="0"/>
          <w:sz w:val="24"/>
          <w:szCs w:val="24"/>
        </w:rPr>
        <w:t>和</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光子的能量有一定的依赖关系。因此，对于不同的物质和不同能量的</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光子，这三种效应的相对重要性是不同的。图</w:t>
      </w:r>
      <w:r>
        <w:rPr>
          <w:rFonts w:hint="eastAsia" w:ascii="TimesNewRomanPSMT" w:eastAsia="宋体" w:cs="TimesNewRomanPSMT"/>
          <w:kern w:val="0"/>
          <w:sz w:val="24"/>
          <w:szCs w:val="24"/>
          <w:lang w:val="en-US" w:eastAsia="zh-CN"/>
        </w:rPr>
        <w:t>13</w:t>
      </w:r>
      <w:r>
        <w:rPr>
          <w:rFonts w:hint="eastAsia" w:ascii="宋体" w:eastAsia="宋体" w:cs="宋体"/>
          <w:kern w:val="0"/>
          <w:sz w:val="24"/>
          <w:szCs w:val="24"/>
        </w:rPr>
        <w:t>表示出各种效应占优势的区域。</w:t>
      </w:r>
    </w:p>
    <w:p w14:paraId="70B9A129">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w:t>
      </w:r>
      <w:r>
        <w:rPr>
          <w:rFonts w:ascii="TimesNewRomanPSMT" w:eastAsia="TimesNewRomanPSMT" w:cs="TimesNewRomanPSMT"/>
          <w:kern w:val="0"/>
          <w:sz w:val="24"/>
          <w:szCs w:val="24"/>
        </w:rPr>
        <w:t>1</w:t>
      </w:r>
      <w:r>
        <w:rPr>
          <w:rFonts w:hint="eastAsia" w:ascii="宋体" w:eastAsia="宋体" w:cs="宋体"/>
          <w:kern w:val="0"/>
          <w:sz w:val="24"/>
          <w:szCs w:val="24"/>
        </w:rPr>
        <w:t>）对于低能</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射线和原子序数高的物质，光电效应为主；</w:t>
      </w:r>
    </w:p>
    <w:p w14:paraId="2CFAD331">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w:t>
      </w:r>
      <w:r>
        <w:rPr>
          <w:rFonts w:ascii="TimesNewRomanPSMT" w:eastAsia="TimesNewRomanPSMT" w:cs="TimesNewRomanPSMT"/>
          <w:kern w:val="0"/>
          <w:sz w:val="24"/>
          <w:szCs w:val="24"/>
        </w:rPr>
        <w:t>2</w:t>
      </w:r>
      <w:r>
        <w:rPr>
          <w:rFonts w:hint="eastAsia" w:ascii="宋体" w:eastAsia="宋体" w:cs="宋体"/>
          <w:kern w:val="0"/>
          <w:sz w:val="24"/>
          <w:szCs w:val="24"/>
        </w:rPr>
        <w:t>）对于中能</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射线和原子序数低的物质，康普顿效应为主；</w:t>
      </w:r>
    </w:p>
    <w:p w14:paraId="5D76B74B">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w:t>
      </w:r>
      <w:r>
        <w:rPr>
          <w:rFonts w:ascii="TimesNewRomanPSMT" w:eastAsia="TimesNewRomanPSMT" w:cs="TimesNewRomanPSMT"/>
          <w:kern w:val="0"/>
          <w:sz w:val="24"/>
          <w:szCs w:val="24"/>
        </w:rPr>
        <w:t>3</w:t>
      </w:r>
      <w:r>
        <w:rPr>
          <w:rFonts w:hint="eastAsia" w:ascii="宋体" w:eastAsia="宋体" w:cs="宋体"/>
          <w:kern w:val="0"/>
          <w:sz w:val="24"/>
          <w:szCs w:val="24"/>
        </w:rPr>
        <w:t>）对于高能</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射线和原子序数高的物质，电子对效应为主。</w:t>
      </w:r>
    </w:p>
    <w:p w14:paraId="2E4F836E">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由此可见一般说来，</w:t>
      </w:r>
      <w:r>
        <w:rPr>
          <w:rFonts w:hint="eastAsia" w:ascii="TimesNewRomanPSMT" w:eastAsia="TimesNewRomanPSMT" w:cs="TimesNewRomanPSMT"/>
          <w:kern w:val="0"/>
          <w:sz w:val="24"/>
          <w:szCs w:val="24"/>
        </w:rPr>
        <w:t>γ</w:t>
      </w:r>
      <w:r>
        <w:rPr>
          <w:rFonts w:ascii="TimesNewRomanPSMT" w:eastAsia="TimesNewRomanPSMT" w:cs="TimesNewRomanPSMT"/>
          <w:kern w:val="0"/>
          <w:sz w:val="24"/>
          <w:szCs w:val="24"/>
        </w:rPr>
        <w:t xml:space="preserve"> </w:t>
      </w:r>
      <w:r>
        <w:rPr>
          <w:rFonts w:hint="eastAsia" w:ascii="宋体" w:eastAsia="宋体" w:cs="宋体"/>
          <w:kern w:val="0"/>
          <w:sz w:val="24"/>
          <w:szCs w:val="24"/>
        </w:rPr>
        <w:t>射线能量小于</w:t>
      </w:r>
      <w:r>
        <w:rPr>
          <w:rFonts w:ascii="TimesNewRomanPSMT" w:eastAsia="TimesNewRomanPSMT" w:cs="TimesNewRomanPSMT"/>
          <w:kern w:val="0"/>
          <w:sz w:val="24"/>
          <w:szCs w:val="24"/>
        </w:rPr>
        <w:t xml:space="preserve">1.5MeV </w:t>
      </w:r>
      <w:r>
        <w:rPr>
          <w:rFonts w:hint="eastAsia" w:ascii="宋体" w:eastAsia="宋体" w:cs="宋体"/>
          <w:kern w:val="0"/>
          <w:sz w:val="24"/>
          <w:szCs w:val="24"/>
        </w:rPr>
        <w:t>时产生电子对的几率很小，可认为只有光电效应和康普顿效应出现。</w:t>
      </w:r>
    </w:p>
    <w:p w14:paraId="78C44229">
      <w:pPr>
        <w:autoSpaceDE w:val="0"/>
        <w:autoSpaceDN w:val="0"/>
        <w:adjustRightInd w:val="0"/>
        <w:spacing w:line="360" w:lineRule="auto"/>
        <w:jc w:val="center"/>
        <w:rPr>
          <w:sz w:val="24"/>
          <w:szCs w:val="24"/>
        </w:rPr>
      </w:pPr>
      <w:r>
        <w:rPr>
          <w:sz w:val="24"/>
          <w:szCs w:val="24"/>
        </w:rPr>
        <w:drawing>
          <wp:inline distT="0" distB="0" distL="0" distR="0">
            <wp:extent cx="2334260" cy="2154555"/>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34853" cy="2154964"/>
                    </a:xfrm>
                    <a:prstGeom prst="rect">
                      <a:avLst/>
                    </a:prstGeom>
                    <a:noFill/>
                    <a:ln>
                      <a:noFill/>
                    </a:ln>
                  </pic:spPr>
                </pic:pic>
              </a:graphicData>
            </a:graphic>
          </wp:inline>
        </w:drawing>
      </w:r>
    </w:p>
    <w:p w14:paraId="4DFF2783">
      <w:pPr>
        <w:autoSpaceDE w:val="0"/>
        <w:autoSpaceDN w:val="0"/>
        <w:adjustRightInd w:val="0"/>
        <w:spacing w:line="360" w:lineRule="auto"/>
        <w:jc w:val="center"/>
        <w:rPr>
          <w:sz w:val="24"/>
          <w:szCs w:val="24"/>
        </w:rPr>
      </w:pPr>
      <w:r>
        <w:rPr>
          <w:rFonts w:hint="eastAsia"/>
          <w:sz w:val="24"/>
          <w:szCs w:val="24"/>
        </w:rPr>
        <w:t>图12  137Cs 衰变纲图</w:t>
      </w:r>
    </w:p>
    <w:p w14:paraId="2576ED50">
      <w:pPr>
        <w:autoSpaceDE w:val="0"/>
        <w:autoSpaceDN w:val="0"/>
        <w:adjustRightInd w:val="0"/>
        <w:spacing w:line="360" w:lineRule="auto"/>
        <w:jc w:val="center"/>
        <w:rPr>
          <w:sz w:val="24"/>
          <w:szCs w:val="24"/>
        </w:rPr>
      </w:pPr>
      <w:r>
        <w:rPr>
          <w:sz w:val="24"/>
          <w:szCs w:val="24"/>
        </w:rPr>
        <w:drawing>
          <wp:inline distT="0" distB="0" distL="0" distR="0">
            <wp:extent cx="3045460" cy="232156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43673" cy="2320057"/>
                    </a:xfrm>
                    <a:prstGeom prst="rect">
                      <a:avLst/>
                    </a:prstGeom>
                    <a:noFill/>
                    <a:ln>
                      <a:noFill/>
                    </a:ln>
                  </pic:spPr>
                </pic:pic>
              </a:graphicData>
            </a:graphic>
          </wp:inline>
        </w:drawing>
      </w:r>
    </w:p>
    <w:p w14:paraId="315BDE6E">
      <w:pPr>
        <w:autoSpaceDE w:val="0"/>
        <w:autoSpaceDN w:val="0"/>
        <w:adjustRightInd w:val="0"/>
        <w:spacing w:line="360" w:lineRule="auto"/>
        <w:jc w:val="center"/>
        <w:rPr>
          <w:sz w:val="24"/>
          <w:szCs w:val="24"/>
        </w:rPr>
      </w:pPr>
      <w:r>
        <w:rPr>
          <w:rFonts w:hint="eastAsia"/>
          <w:sz w:val="24"/>
          <w:szCs w:val="24"/>
        </w:rPr>
        <w:t>图13  137Cs 的γ 射线能谱（a）实测谱 （b）理想谱</w:t>
      </w:r>
    </w:p>
    <w:p w14:paraId="023F71D6">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3、多道脉冲幅度分析器</w:t>
      </w:r>
    </w:p>
    <w:p w14:paraId="1B7A8E1C">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多道脉冲幅度分析器相当于多个单道分析器。它把分析器的范围（</w:t>
      </w:r>
      <w:r>
        <w:rPr>
          <w:rFonts w:ascii="TimesNewRomanPSMT" w:eastAsia="TimesNewRomanPSMT" w:cs="TimesNewRomanPSMT"/>
          <w:kern w:val="0"/>
          <w:sz w:val="24"/>
          <w:szCs w:val="24"/>
        </w:rPr>
        <w:t xml:space="preserve">5 </w:t>
      </w:r>
      <w:r>
        <w:rPr>
          <w:rFonts w:hint="eastAsia" w:ascii="宋体" w:eastAsia="宋体" w:cs="宋体"/>
          <w:kern w:val="0"/>
          <w:sz w:val="24"/>
          <w:szCs w:val="24"/>
        </w:rPr>
        <w:t>伏或</w:t>
      </w:r>
      <w:r>
        <w:rPr>
          <w:rFonts w:ascii="TimesNewRomanPSMT" w:eastAsia="TimesNewRomanPSMT" w:cs="TimesNewRomanPSMT"/>
          <w:kern w:val="0"/>
          <w:sz w:val="24"/>
          <w:szCs w:val="24"/>
        </w:rPr>
        <w:t xml:space="preserve">10 </w:t>
      </w:r>
      <w:r>
        <w:rPr>
          <w:rFonts w:hint="eastAsia" w:ascii="宋体" w:eastAsia="宋体" w:cs="宋体"/>
          <w:kern w:val="0"/>
          <w:sz w:val="24"/>
          <w:szCs w:val="24"/>
        </w:rPr>
        <w:t>伏）按不同的测量需要平均分成</w:t>
      </w:r>
      <w:r>
        <w:rPr>
          <w:rFonts w:ascii="TimesNewRomanPSMT" w:eastAsia="TimesNewRomanPSMT" w:cs="TimesNewRomanPSMT"/>
          <w:kern w:val="0"/>
          <w:sz w:val="24"/>
          <w:szCs w:val="24"/>
        </w:rPr>
        <w:t xml:space="preserve">512 </w:t>
      </w:r>
      <w:r>
        <w:rPr>
          <w:rFonts w:hint="eastAsia" w:ascii="宋体" w:eastAsia="宋体" w:cs="宋体"/>
          <w:kern w:val="0"/>
          <w:sz w:val="24"/>
          <w:szCs w:val="24"/>
        </w:rPr>
        <w:t>道、</w:t>
      </w:r>
      <w:r>
        <w:rPr>
          <w:rFonts w:ascii="TimesNewRomanPSMT" w:eastAsia="TimesNewRomanPSMT" w:cs="TimesNewRomanPSMT"/>
          <w:kern w:val="0"/>
          <w:sz w:val="24"/>
          <w:szCs w:val="24"/>
        </w:rPr>
        <w:t xml:space="preserve">1024 </w:t>
      </w:r>
      <w:r>
        <w:rPr>
          <w:rFonts w:hint="eastAsia" w:ascii="宋体" w:eastAsia="宋体" w:cs="宋体"/>
          <w:kern w:val="0"/>
          <w:sz w:val="24"/>
          <w:szCs w:val="24"/>
        </w:rPr>
        <w:t>道、</w:t>
      </w:r>
      <w:r>
        <w:rPr>
          <w:rFonts w:ascii="TimesNewRomanPSMT" w:eastAsia="TimesNewRomanPSMT" w:cs="TimesNewRomanPSMT"/>
          <w:kern w:val="0"/>
          <w:sz w:val="24"/>
          <w:szCs w:val="24"/>
        </w:rPr>
        <w:t xml:space="preserve">2048 </w:t>
      </w:r>
      <w:r>
        <w:rPr>
          <w:rFonts w:hint="eastAsia" w:ascii="宋体" w:eastAsia="宋体" w:cs="宋体"/>
          <w:kern w:val="0"/>
          <w:sz w:val="24"/>
          <w:szCs w:val="24"/>
        </w:rPr>
        <w:t>道等。各道能同时测量，可测出介于各窄小道宽内的脉冲强度，既可在屏幕上同时显示各道的计数，也可由打印机打印出来，因此能便捷地测量能谱。</w:t>
      </w:r>
    </w:p>
    <w:p w14:paraId="0A9846BB">
      <w:pPr>
        <w:autoSpaceDE w:val="0"/>
        <w:autoSpaceDN w:val="0"/>
        <w:adjustRightInd w:val="0"/>
        <w:spacing w:line="360" w:lineRule="auto"/>
        <w:jc w:val="left"/>
        <w:rPr>
          <w:rFonts w:ascii="宋体" w:eastAsia="宋体" w:cs="宋体"/>
          <w:kern w:val="0"/>
          <w:szCs w:val="21"/>
        </w:rPr>
      </w:pPr>
    </w:p>
    <w:p w14:paraId="7147871E">
      <w:pPr>
        <w:pStyle w:val="7"/>
        <w:spacing w:before="0" w:beforeAutospacing="0" w:after="0" w:afterAutospacing="0" w:line="360" w:lineRule="auto"/>
        <w:rPr>
          <w:b/>
        </w:rPr>
      </w:pPr>
      <w:r>
        <w:rPr>
          <w:rFonts w:hint="eastAsia"/>
          <w:b/>
        </w:rPr>
        <w:t>三、思考题</w:t>
      </w:r>
    </w:p>
    <w:p w14:paraId="30D9CDC4">
      <w:pPr>
        <w:autoSpaceDE w:val="0"/>
        <w:autoSpaceDN w:val="0"/>
        <w:adjustRightInd w:val="0"/>
        <w:spacing w:line="360" w:lineRule="auto"/>
        <w:jc w:val="left"/>
        <w:rPr>
          <w:rFonts w:ascii="宋体" w:eastAsia="宋体" w:cs="宋体"/>
          <w:kern w:val="0"/>
          <w:sz w:val="24"/>
          <w:szCs w:val="24"/>
        </w:rPr>
      </w:pPr>
      <w:r>
        <w:rPr>
          <w:rFonts w:hint="eastAsia" w:ascii="宋体" w:eastAsia="宋体" w:cs="宋体"/>
          <w:kern w:val="0"/>
          <w:sz w:val="24"/>
          <w:szCs w:val="24"/>
        </w:rPr>
        <w:t>1、若单道的阈值为U</w:t>
      </w:r>
      <w:r>
        <w:rPr>
          <w:rFonts w:hint="eastAsia" w:ascii="宋体" w:eastAsia="宋体" w:cs="宋体"/>
          <w:kern w:val="0"/>
          <w:sz w:val="24"/>
          <w:szCs w:val="24"/>
          <w:vertAlign w:val="subscript"/>
        </w:rPr>
        <w:t>k</w:t>
      </w:r>
      <w:r>
        <w:rPr>
          <w:rFonts w:hint="eastAsia" w:ascii="宋体" w:eastAsia="宋体" w:cs="宋体"/>
          <w:kern w:val="0"/>
          <w:sz w:val="24"/>
          <w:szCs w:val="24"/>
        </w:rPr>
        <w:t>，道宽为</w:t>
      </w:r>
      <w:r>
        <w:rPr>
          <w:rFonts w:ascii="Calibri" w:hAnsi="Calibri" w:eastAsia="宋体" w:cs="宋体"/>
          <w:kern w:val="0"/>
          <w:sz w:val="24"/>
          <w:szCs w:val="24"/>
        </w:rPr>
        <w:t>∆</w:t>
      </w:r>
      <w:r>
        <w:rPr>
          <w:rFonts w:hint="eastAsia" w:ascii="宋体" w:eastAsia="宋体" w:cs="宋体"/>
          <w:kern w:val="0"/>
          <w:sz w:val="24"/>
          <w:szCs w:val="24"/>
        </w:rPr>
        <w:t>U，则单道的上阈和下阈分别是多少？单道上阈和道宽的选择会对射线测量有何影响？</w:t>
      </w:r>
    </w:p>
    <w:p w14:paraId="5E6BFC6C">
      <w:pPr>
        <w:autoSpaceDE w:val="0"/>
        <w:autoSpaceDN w:val="0"/>
        <w:adjustRightInd w:val="0"/>
        <w:spacing w:line="360" w:lineRule="auto"/>
        <w:jc w:val="left"/>
        <w:rPr>
          <w:rFonts w:hint="eastAsia" w:ascii="宋体" w:eastAsia="宋体" w:cs="宋体"/>
          <w:kern w:val="0"/>
          <w:sz w:val="24"/>
          <w:szCs w:val="24"/>
        </w:rPr>
      </w:pPr>
      <w:r>
        <w:rPr>
          <w:rFonts w:hint="eastAsia" w:ascii="宋体" w:eastAsia="宋体" w:cs="宋体"/>
          <w:kern w:val="0"/>
          <w:sz w:val="24"/>
          <w:szCs w:val="24"/>
        </w:rPr>
        <w:t>2、在用闪烁γ能谱仪测量单能γ射线的能谱时，为什么实测的γ能谱呈连续分布? 请结合文献资料说明实测γ能谱中全能峰、康普顿坪、反散射峰形成的原因?</w:t>
      </w:r>
    </w:p>
    <w:p w14:paraId="5EC7732C">
      <w:pPr>
        <w:autoSpaceDE w:val="0"/>
        <w:autoSpaceDN w:val="0"/>
        <w:adjustRightInd w:val="0"/>
        <w:spacing w:line="360" w:lineRule="auto"/>
        <w:jc w:val="left"/>
        <w:rPr>
          <w:rFonts w:hint="eastAsia" w:ascii="宋体" w:eastAsia="宋体" w:cs="宋体"/>
          <w:kern w:val="0"/>
          <w:sz w:val="24"/>
          <w:szCs w:val="24"/>
          <w:lang w:eastAsia="zh-CN"/>
        </w:rPr>
      </w:pPr>
      <w:r>
        <w:rPr>
          <w:rFonts w:hint="eastAsia" w:ascii="宋体" w:eastAsia="宋体" w:cs="宋体"/>
          <w:kern w:val="0"/>
          <w:sz w:val="24"/>
          <w:szCs w:val="24"/>
          <w:lang w:eastAsia="zh-CN"/>
        </w:rPr>
        <w:t>（</w:t>
      </w:r>
      <w:r>
        <w:rPr>
          <w:rFonts w:hint="eastAsia" w:ascii="宋体" w:eastAsia="宋体" w:cs="宋体"/>
          <w:kern w:val="0"/>
          <w:sz w:val="24"/>
          <w:szCs w:val="24"/>
          <w:lang w:val="en-US" w:eastAsia="zh-CN"/>
        </w:rPr>
        <w:t>注：作答时请标记参考文献</w:t>
      </w:r>
      <w:r>
        <w:rPr>
          <w:rFonts w:hint="eastAsia" w:ascii="宋体" w:eastAsia="宋体" w:cs="宋体"/>
          <w:kern w:val="0"/>
          <w:sz w:val="24"/>
          <w:szCs w:val="24"/>
          <w:lang w:eastAsia="zh-CN"/>
        </w:rPr>
        <w:t>）</w:t>
      </w:r>
    </w:p>
    <w:p w14:paraId="279F180B">
      <w:pPr>
        <w:autoSpaceDE w:val="0"/>
        <w:autoSpaceDN w:val="0"/>
        <w:adjustRightInd w:val="0"/>
        <w:spacing w:line="360" w:lineRule="auto"/>
        <w:jc w:val="left"/>
        <w:rPr>
          <w:rFonts w:hint="eastAsia" w:ascii="宋体" w:eastAsia="宋体" w:cs="宋体"/>
          <w:kern w:val="0"/>
          <w:sz w:val="24"/>
          <w:szCs w:val="24"/>
        </w:rPr>
      </w:pPr>
    </w:p>
    <w:p w14:paraId="19227849">
      <w:pPr>
        <w:spacing w:line="360" w:lineRule="auto"/>
        <w:rPr>
          <w:rFonts w:hint="eastAsia" w:ascii="宋体" w:hAnsi="宋体" w:eastAsia="宋体" w:cs="Times New Roman"/>
          <w:b/>
          <w:color w:val="000000"/>
          <w:sz w:val="24"/>
          <w:szCs w:val="24"/>
          <w:lang w:val="en-US" w:eastAsia="zh-CN"/>
        </w:rPr>
      </w:pPr>
      <w:r>
        <w:rPr>
          <w:rFonts w:hint="eastAsia" w:ascii="宋体" w:hAnsi="宋体" w:eastAsia="宋体" w:cs="Times New Roman"/>
          <w:b/>
          <w:color w:val="000000"/>
          <w:sz w:val="28"/>
          <w:szCs w:val="28"/>
          <w:lang w:val="en-US" w:eastAsia="zh-CN"/>
        </w:rPr>
        <w:t>【以下为思考题作答区域】</w:t>
      </w:r>
      <w:r>
        <w:rPr>
          <w:rFonts w:hint="eastAsia" w:ascii="宋体" w:hAnsi="宋体" w:eastAsia="宋体" w:cs="Times New Roman"/>
          <w:b w:val="0"/>
          <w:bCs/>
          <w:color w:val="000000"/>
          <w:sz w:val="24"/>
          <w:szCs w:val="24"/>
          <w:lang w:val="en-US" w:eastAsia="zh-CN"/>
        </w:rPr>
        <w:t>（格式请与实验指导部分保持一致）</w:t>
      </w:r>
    </w:p>
    <w:p w14:paraId="4457D78E">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1、</w:t>
      </w:r>
    </w:p>
    <w:p w14:paraId="2519392C">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下阈 = U₀</w:t>
      </w:r>
    </w:p>
    <w:p w14:paraId="1149F349">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上阈 = U₀ + ΔU</w:t>
      </w:r>
    </w:p>
    <w:p w14:paraId="5F10C125">
      <w:pPr>
        <w:spacing w:line="360" w:lineRule="auto"/>
        <w:rPr>
          <w:rFonts w:hint="default"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影响：</w:t>
      </w:r>
    </w:p>
    <w:p w14:paraId="51D7E612">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下阈 U₀：决定最低可测脉冲幅度，主要用于剔除噪声和干扰信号；U₀ 过高会漏掉低能有用信号，过低则噪声混入。</w:t>
      </w:r>
    </w:p>
    <w:p w14:paraId="46B1FF51">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道宽 ΔU：决定能量窗口宽度，直接影响能量分辨率与计数率。ΔU 过窄计数率低、统计误差大；ΔU 过宽则不同能量事件混叠，分辨率变差。</w:t>
      </w:r>
    </w:p>
    <w:p w14:paraId="2B6E4D44">
      <w:pPr>
        <w:spacing w:line="360" w:lineRule="auto"/>
        <w:rPr>
          <w:rFonts w:hint="eastAsia" w:ascii="宋体" w:hAnsi="宋体" w:eastAsia="宋体" w:cs="Times New Roman"/>
          <w:b w:val="0"/>
          <w:bCs/>
          <w:color w:val="000000"/>
          <w:sz w:val="24"/>
          <w:szCs w:val="24"/>
          <w:lang w:val="en-US" w:eastAsia="zh-CN"/>
        </w:rPr>
      </w:pPr>
    </w:p>
    <w:p w14:paraId="6AD32610">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2、</w:t>
      </w:r>
    </w:p>
    <w:p w14:paraId="1C4C24F3">
      <w:pPr>
        <w:spacing w:line="360" w:lineRule="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在用闪烁γ能谱仪测量单能γ射线时，实测能谱呈连续分布主要由于：能量吸收不完全（部分次级光子逃逸出探测器）、周围环境物质的外部散射带来连续低能本底，以及探测器光电转换过程中的统计涨落与电子学噪声造成的原本单一的谱线展宽</w:t>
      </w:r>
      <w:r>
        <w:rPr>
          <w:rFonts w:hint="default" w:ascii="Times New Roman" w:hAnsi="Times New Roman" w:eastAsia="宋体" w:cs="Times New Roman"/>
          <w:b w:val="0"/>
          <w:bCs/>
          <w:color w:val="000000"/>
          <w:sz w:val="24"/>
          <w:szCs w:val="24"/>
          <w:vertAlign w:val="superscript"/>
          <w:lang w:val="en-US" w:eastAsia="zh-CN"/>
        </w:rPr>
        <w:t>[1]</w:t>
      </w:r>
      <w:r>
        <w:rPr>
          <w:rFonts w:hint="default" w:ascii="Times New Roman" w:hAnsi="Times New Roman" w:eastAsia="宋体" w:cs="Times New Roman"/>
          <w:b w:val="0"/>
          <w:bCs/>
          <w:color w:val="000000"/>
          <w:sz w:val="24"/>
          <w:szCs w:val="24"/>
          <w:lang w:val="en-US" w:eastAsia="zh-CN"/>
        </w:rPr>
        <w:t>。</w:t>
      </w:r>
    </w:p>
    <w:p w14:paraId="3ABFA2F2">
      <w:pPr>
        <w:spacing w:line="360" w:lineRule="auto"/>
        <w:rPr>
          <w:rFonts w:hint="default" w:ascii="Times New Roman" w:hAnsi="Times New Roman" w:eastAsia="宋体" w:cs="Times New Roman"/>
          <w:b w:val="0"/>
          <w:bCs/>
          <w:color w:val="000000"/>
          <w:sz w:val="24"/>
          <w:szCs w:val="24"/>
          <w:lang w:val="en-US" w:eastAsia="zh-CN"/>
        </w:rPr>
      </w:pPr>
    </w:p>
    <w:p w14:paraId="359A8982">
      <w:pPr>
        <w:spacing w:line="360" w:lineRule="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具体特征峰的形成原因如下：</w:t>
      </w:r>
    </w:p>
    <w:p w14:paraId="4621CE1A">
      <w:pPr>
        <w:spacing w:line="360" w:lineRule="auto"/>
        <w:ind w:left="960" w:hanging="960" w:hangingChars="400"/>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全能峰：入射γ光子在探测器内部发生光电效应（或经多次康普顿散射后最终发生光电吸收），其全部能量被探测器完全沉积并吸收。受统计涨落影响，理论上的离散线状谱展宽为高斯分布的峰</w:t>
      </w:r>
      <w:r>
        <w:rPr>
          <w:rFonts w:hint="default" w:ascii="Times New Roman" w:hAnsi="Times New Roman" w:eastAsia="宋体" w:cs="Times New Roman"/>
          <w:b w:val="0"/>
          <w:bCs/>
          <w:color w:val="000000"/>
          <w:sz w:val="24"/>
          <w:szCs w:val="24"/>
          <w:vertAlign w:val="superscript"/>
          <w:lang w:val="en-US" w:eastAsia="zh-CN"/>
        </w:rPr>
        <w:t>[1,3]</w:t>
      </w:r>
      <w:r>
        <w:rPr>
          <w:rFonts w:hint="default" w:ascii="Times New Roman" w:hAnsi="Times New Roman" w:eastAsia="宋体" w:cs="Times New Roman"/>
          <w:b w:val="0"/>
          <w:bCs/>
          <w:color w:val="000000"/>
          <w:sz w:val="24"/>
          <w:szCs w:val="24"/>
          <w:lang w:val="en-US" w:eastAsia="zh-CN"/>
        </w:rPr>
        <w:t>。</w:t>
      </w:r>
    </w:p>
    <w:p w14:paraId="3CF1E25D">
      <w:pPr>
        <w:spacing w:line="360" w:lineRule="auto"/>
        <w:ind w:left="960" w:hanging="960" w:hangingChars="400"/>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康普顿坪：入射光子在探测器内部发生康普顿散射，反冲电子能量被吸收，但次级散射光子逃逸出探测器。由于散射角可在0°~180°内任意变化，留在探测器内的反冲电子能量呈连续变化，从而在能谱中低能段形成一段平坦的连续分布</w:t>
      </w:r>
      <w:r>
        <w:rPr>
          <w:rFonts w:hint="default" w:ascii="Times New Roman" w:hAnsi="Times New Roman" w:eastAsia="宋体" w:cs="Times New Roman"/>
          <w:b w:val="0"/>
          <w:bCs/>
          <w:color w:val="000000"/>
          <w:sz w:val="24"/>
          <w:szCs w:val="24"/>
          <w:vertAlign w:val="superscript"/>
          <w:lang w:val="en-US" w:eastAsia="zh-CN"/>
        </w:rPr>
        <w:t>[1,2]</w:t>
      </w:r>
      <w:r>
        <w:rPr>
          <w:rFonts w:hint="default" w:ascii="Times New Roman" w:hAnsi="Times New Roman" w:eastAsia="宋体" w:cs="Times New Roman"/>
          <w:b w:val="0"/>
          <w:bCs/>
          <w:color w:val="000000"/>
          <w:sz w:val="24"/>
          <w:szCs w:val="24"/>
          <w:lang w:val="en-US" w:eastAsia="zh-CN"/>
        </w:rPr>
        <w:t>。</w:t>
      </w:r>
    </w:p>
    <w:p w14:paraId="1D998724">
      <w:pPr>
        <w:spacing w:line="360" w:lineRule="auto"/>
        <w:ind w:left="960" w:hanging="960" w:hangingChars="400"/>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反散射峰：部分入射光子打在探测器周围的外部物质（如铅屏蔽室、底座等上，发生大角度（约180°）康普顿背散射。这些失去大部分能量的光子被反弹进入探测器并被吸收。由于180°背向散射光子的能量均趋于一个相近的低能常数（约0.2~0.25 MeV），因而在低能段叠加形成了一个相对较宽的峰</w:t>
      </w:r>
      <w:r>
        <w:rPr>
          <w:rFonts w:hint="eastAsia" w:ascii="Times New Roman" w:hAnsi="Times New Roman" w:eastAsia="宋体" w:cs="Times New Roman"/>
          <w:b w:val="0"/>
          <w:bCs/>
          <w:color w:val="000000"/>
          <w:sz w:val="24"/>
          <w:szCs w:val="24"/>
          <w:vertAlign w:val="superscript"/>
          <w:lang w:val="en-US" w:eastAsia="zh-CN"/>
        </w:rPr>
        <w:t>[1]</w:t>
      </w:r>
      <w:r>
        <w:rPr>
          <w:rFonts w:hint="default" w:ascii="Times New Roman" w:hAnsi="Times New Roman" w:eastAsia="宋体" w:cs="Times New Roman"/>
          <w:b w:val="0"/>
          <w:bCs/>
          <w:color w:val="000000"/>
          <w:sz w:val="24"/>
          <w:szCs w:val="24"/>
          <w:lang w:val="en-US" w:eastAsia="zh-CN"/>
        </w:rPr>
        <w:t>。</w:t>
      </w:r>
    </w:p>
    <w:p w14:paraId="5994EEB6">
      <w:pPr>
        <w:spacing w:line="360" w:lineRule="auto"/>
        <w:rPr>
          <w:rFonts w:hint="default" w:ascii="Times New Roman" w:hAnsi="Times New Roman" w:eastAsia="宋体" w:cs="Times New Roman"/>
          <w:b w:val="0"/>
          <w:bCs/>
          <w:color w:val="000000"/>
          <w:sz w:val="24"/>
          <w:szCs w:val="24"/>
          <w:lang w:val="en-US" w:eastAsia="zh-CN"/>
        </w:rPr>
      </w:pPr>
    </w:p>
    <w:p w14:paraId="5467474C">
      <w:pPr>
        <w:spacing w:line="360" w:lineRule="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参考文献：</w:t>
      </w:r>
    </w:p>
    <w:p w14:paraId="30A04C29">
      <w:pPr>
        <w:spacing w:line="360" w:lineRule="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 xml:space="preserve">1. </w:t>
      </w:r>
      <w:r>
        <w:rPr>
          <w:rFonts w:hint="default" w:ascii="Times New Roman" w:hAnsi="Times New Roman" w:eastAsia="宋体" w:cs="Times New Roman"/>
          <w:b w:val="0"/>
          <w:bCs/>
          <w:color w:val="000000"/>
          <w:sz w:val="24"/>
          <w:szCs w:val="24"/>
          <w:lang w:val="en-US" w:eastAsia="zh-CN"/>
        </w:rPr>
        <w:t>Knoll GF. Radiation Detection and Measurement. 4th ed. John Wiley &amp; Sons; 2010.</w:t>
      </w:r>
    </w:p>
    <w:p w14:paraId="536DD124">
      <w:pPr>
        <w:spacing w:line="360" w:lineRule="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 xml:space="preserve">2. </w:t>
      </w:r>
      <w:r>
        <w:rPr>
          <w:rFonts w:hint="default" w:ascii="Times New Roman" w:hAnsi="Times New Roman" w:eastAsia="宋体" w:cs="Times New Roman"/>
          <w:b w:val="0"/>
          <w:bCs/>
          <w:color w:val="000000"/>
          <w:sz w:val="24"/>
          <w:szCs w:val="24"/>
          <w:lang w:val="en-US" w:eastAsia="zh-CN"/>
        </w:rPr>
        <w:t xml:space="preserve">Barbosa EQ, Bonotto DM, Cecatto GR. Effects of Compton scattering on gamma-ray spectrometry applied to rocks from Irati Formation, Paraná sedimentary basin, Brazil. Discover Geosci. 2025;3:141. </w:t>
      </w:r>
    </w:p>
    <w:p w14:paraId="64AEED7F">
      <w:pPr>
        <w:spacing w:line="360" w:lineRule="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 xml:space="preserve">3. </w:t>
      </w:r>
      <w:r>
        <w:rPr>
          <w:rFonts w:hint="default" w:ascii="Times New Roman" w:hAnsi="Times New Roman" w:eastAsia="宋体" w:cs="Times New Roman"/>
          <w:b w:val="0"/>
          <w:bCs/>
          <w:color w:val="000000"/>
          <w:sz w:val="24"/>
          <w:szCs w:val="24"/>
          <w:lang w:val="en-US" w:eastAsia="zh-CN"/>
        </w:rPr>
        <w:t>Sudarshan M, Joseph J, Singh R. Full energy peak efficiency of NaI(Tl) gamma detectors and its analytical and semi-empirical representations. J Phys D Appl Phys. 1992;25(11):1561-1567.</w:t>
      </w:r>
    </w:p>
    <w:p w14:paraId="42911DF6">
      <w:pPr>
        <w:spacing w:line="360" w:lineRule="auto"/>
        <w:rPr>
          <w:rFonts w:hint="default" w:ascii="Times New Roman" w:hAnsi="Times New Roman" w:eastAsia="宋体" w:cs="Times New Roman"/>
          <w:b w:val="0"/>
          <w:bCs/>
          <w:color w:val="000000"/>
          <w:sz w:val="24"/>
          <w:szCs w:val="24"/>
          <w:lang w:val="en-US" w:eastAsia="zh-CN"/>
        </w:rPr>
      </w:pPr>
    </w:p>
    <w:p w14:paraId="321F044F">
      <w:pPr>
        <w:spacing w:line="360" w:lineRule="auto"/>
        <w:rPr>
          <w:rFonts w:hint="eastAsia" w:ascii="宋体" w:hAnsi="宋体" w:eastAsia="宋体" w:cs="Times New Roman"/>
          <w:b/>
          <w:color w:val="000000"/>
          <w:sz w:val="28"/>
          <w:szCs w:val="28"/>
          <w:lang w:val="en-US" w:eastAsia="zh-CN"/>
        </w:rPr>
      </w:pPr>
      <w:r>
        <w:rPr>
          <w:rFonts w:hint="eastAsia" w:ascii="宋体" w:hAnsi="宋体" w:eastAsia="宋体" w:cs="Times New Roman"/>
          <w:b/>
          <w:color w:val="000000"/>
          <w:sz w:val="28"/>
          <w:szCs w:val="28"/>
          <w:lang w:val="en-US" w:eastAsia="zh-CN"/>
        </w:rPr>
        <w:t>【以下为实验记录区域】</w:t>
      </w:r>
    </w:p>
    <w:p w14:paraId="28FD0A7D">
      <w:pPr>
        <w:spacing w:line="360" w:lineRule="auto"/>
        <w:rPr>
          <w:rFonts w:hint="eastAsia" w:ascii="宋体" w:hAnsi="宋体" w:eastAsia="宋体" w:cs="Times New Roman"/>
          <w:b w:val="0"/>
          <w:bCs/>
          <w:color w:val="000000"/>
          <w:sz w:val="24"/>
          <w:szCs w:val="24"/>
          <w:lang w:val="en-US" w:eastAsia="zh-CN"/>
        </w:rPr>
      </w:pPr>
      <w:r>
        <w:rPr>
          <w:rFonts w:hint="eastAsia" w:ascii="宋体" w:hAnsi="宋体" w:eastAsia="宋体" w:cs="Times New Roman"/>
          <w:b w:val="0"/>
          <w:bCs/>
          <w:color w:val="000000"/>
          <w:sz w:val="24"/>
          <w:szCs w:val="24"/>
          <w:lang w:val="en-US" w:eastAsia="zh-CN"/>
        </w:rPr>
        <w:t>实验效果图：</w:t>
      </w:r>
    </w:p>
    <w:p w14:paraId="4D070846">
      <w:pPr>
        <w:spacing w:line="360" w:lineRule="auto"/>
        <w:rPr>
          <w:rFonts w:hint="eastAsia" w:ascii="宋体" w:eastAsia="宋体" w:cs="宋体"/>
          <w:kern w:val="0"/>
          <w:sz w:val="24"/>
          <w:szCs w:val="24"/>
        </w:rPr>
      </w:pPr>
      <w:r>
        <w:rPr>
          <w:rFonts w:hint="default" w:ascii="宋体" w:hAnsi="宋体" w:eastAsia="宋体" w:cs="Times New Roman"/>
          <w:b w:val="0"/>
          <w:bCs/>
          <w:color w:val="000000"/>
          <w:sz w:val="24"/>
          <w:szCs w:val="24"/>
          <w:lang w:val="en-US" w:eastAsia="zh-CN"/>
        </w:rPr>
        <w:drawing>
          <wp:inline distT="0" distB="0" distL="114300" distR="114300">
            <wp:extent cx="5243830" cy="3932555"/>
            <wp:effectExtent l="0" t="0" r="13970" b="14605"/>
            <wp:docPr id="10" name="图片 10" descr="f003b0f8791507bbe17d57fe67280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003b0f8791507bbe17d57fe67280b2f"/>
                    <pic:cNvPicPr>
                      <a:picLocks noChangeAspect="1"/>
                    </pic:cNvPicPr>
                  </pic:nvPicPr>
                  <pic:blipFill>
                    <a:blip r:embed="rId20"/>
                    <a:stretch>
                      <a:fillRect/>
                    </a:stretch>
                  </pic:blipFill>
                  <pic:spPr>
                    <a:xfrm>
                      <a:off x="0" y="0"/>
                      <a:ext cx="5243830" cy="3932555"/>
                    </a:xfrm>
                    <a:prstGeom prst="rect">
                      <a:avLst/>
                    </a:prstGeom>
                  </pic:spPr>
                </pic:pic>
              </a:graphicData>
            </a:graphic>
          </wp:inline>
        </w:drawing>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TimesNewRomanPSMT">
    <w:altName w:val="Times New Roman"/>
    <w:panose1 w:val="02020503050405090304"/>
    <w:charset w:val="88"/>
    <w:family w:val="auto"/>
    <w:pitch w:val="default"/>
    <w:sig w:usb0="00000000" w:usb1="00000000" w:usb2="00000001" w:usb3="00000000" w:csb0="400001BF" w:csb1="DFF7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宋体">
    <w:panose1 w:val="02010600030101010101"/>
    <w:charset w:val="86"/>
    <w:family w:val="auto"/>
    <w:pitch w:val="variable"/>
    <w:sig w:usb0="00000203" w:usb1="288F0000" w:usb2="00000006" w:usb3="00000000" w:csb0="00040001" w:csb1="00000000"/>
  </w:font>
  <w:font w:name="@等线">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64B94">
    <w:pPr>
      <w:pStyle w:val="6"/>
      <w:pBdr>
        <w:bottom w:val="single" w:color="auto" w:sz="4" w:space="0"/>
      </w:pBdr>
      <w:rPr>
        <w:rFonts w:hint="eastAsia" w:ascii="楷体_GB2312" w:eastAsia="楷体_GB2312"/>
        <w:sz w:val="21"/>
        <w:szCs w:val="21"/>
      </w:rPr>
    </w:pPr>
    <w:r>
      <w:rPr>
        <w:rFonts w:hint="eastAsia" w:ascii="楷体_GB2312" w:eastAsia="楷体_GB2312"/>
        <w:sz w:val="21"/>
        <w:szCs w:val="21"/>
      </w:rPr>
      <w:t>《</w:t>
    </w:r>
    <w:r>
      <w:rPr>
        <w:rFonts w:hint="eastAsia" w:ascii="楷体_GB2312" w:eastAsia="楷体_GB2312"/>
        <w:sz w:val="21"/>
        <w:szCs w:val="21"/>
        <w:lang w:val="en-US" w:eastAsia="zh-CN"/>
      </w:rPr>
      <w:t>核医学成像技术及设备</w:t>
    </w:r>
    <w:r>
      <w:rPr>
        <w:rFonts w:hint="eastAsia" w:ascii="楷体_GB2312" w:eastAsia="楷体_GB2312"/>
        <w:sz w:val="21"/>
        <w:szCs w:val="21"/>
      </w:rPr>
      <w:t>》课程实验报告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kNjcyZGFkODMwYzU1MjMyZjRkNWI3ZmY0MmRjNjAifQ=="/>
  </w:docVars>
  <w:rsids>
    <w:rsidRoot w:val="00357BCD"/>
    <w:rsid w:val="00031DB4"/>
    <w:rsid w:val="000F35B5"/>
    <w:rsid w:val="002104AE"/>
    <w:rsid w:val="00304EBE"/>
    <w:rsid w:val="00314A89"/>
    <w:rsid w:val="00332A35"/>
    <w:rsid w:val="00357BCD"/>
    <w:rsid w:val="004A64F5"/>
    <w:rsid w:val="00505339"/>
    <w:rsid w:val="00686B4A"/>
    <w:rsid w:val="006A733E"/>
    <w:rsid w:val="007261E3"/>
    <w:rsid w:val="007517BD"/>
    <w:rsid w:val="00773293"/>
    <w:rsid w:val="00785AE6"/>
    <w:rsid w:val="0088733E"/>
    <w:rsid w:val="008A5C33"/>
    <w:rsid w:val="0090012C"/>
    <w:rsid w:val="0095764D"/>
    <w:rsid w:val="009733B0"/>
    <w:rsid w:val="009C1ABC"/>
    <w:rsid w:val="009F61CD"/>
    <w:rsid w:val="00A93878"/>
    <w:rsid w:val="00CE428C"/>
    <w:rsid w:val="00D274B0"/>
    <w:rsid w:val="00DE66C5"/>
    <w:rsid w:val="00F03BF5"/>
    <w:rsid w:val="00F9794F"/>
    <w:rsid w:val="117425FA"/>
    <w:rsid w:val="1F8B6ED9"/>
    <w:rsid w:val="3BFBD116"/>
    <w:rsid w:val="3E6D50FB"/>
    <w:rsid w:val="67D8077D"/>
    <w:rsid w:val="6B767770"/>
    <w:rsid w:val="6FA1EA21"/>
    <w:rsid w:val="76813115"/>
    <w:rsid w:val="B3FE95FF"/>
    <w:rsid w:val="DFFF51F1"/>
    <w:rsid w:val="FE7F4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customStyle="1" w:styleId="11">
    <w:name w:val="批注框文本 Char"/>
    <w:basedOn w:val="9"/>
    <w:link w:val="4"/>
    <w:semiHidden/>
    <w:uiPriority w:val="99"/>
    <w:rPr>
      <w:sz w:val="18"/>
      <w:szCs w:val="18"/>
    </w:rPr>
  </w:style>
  <w:style w:type="paragraph" w:styleId="12">
    <w:name w:val="List Paragraph"/>
    <w:basedOn w:val="1"/>
    <w:qFormat/>
    <w:uiPriority w:val="34"/>
    <w:pPr>
      <w:ind w:firstLine="420" w:firstLineChars="200"/>
    </w:pPr>
  </w:style>
  <w:style w:type="character" w:customStyle="1" w:styleId="13">
    <w:name w:val="页眉 Char"/>
    <w:basedOn w:val="9"/>
    <w:link w:val="6"/>
    <w:qFormat/>
    <w:uiPriority w:val="99"/>
    <w:rPr>
      <w:sz w:val="18"/>
      <w:szCs w:val="18"/>
    </w:rPr>
  </w:style>
  <w:style w:type="character" w:customStyle="1" w:styleId="14">
    <w:name w:val="页脚 Char"/>
    <w:basedOn w:val="9"/>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1778</Words>
  <Characters>2202</Characters>
  <Lines>9</Lines>
  <Paragraphs>2</Paragraphs>
  <TotalTime>53</TotalTime>
  <ScaleCrop>false</ScaleCrop>
  <LinksUpToDate>false</LinksUpToDate>
  <CharactersWithSpaces>2317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2022-11-23T00:20:00Z</dcterms:created>
  <dc:creator>zou</dc:creator>
  <cp:lastModifiedBy>qzuser</cp:lastModifiedBy>
  <cp:lastPrinted>2022-11-25T09:42:00Z</cp:lastPrinted>
  <dcterms:modified xsi:type="dcterms:W3CDTF">2026-06-02T02:04:59Z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B46BACD1CA8A490285D533E42815B79A_12</vt:lpwstr>
  </property>
  <property fmtid="{D5CDD505-2E9C-101B-9397-08002B2CF9AE}" pid="4" name="KSOTemplateDocerSaveRecord">
    <vt:lpwstr>eyJoZGlkIjoiNzQwNzYyZTEwNjgwMTY5YTUwNGQ2MjViM2FiZjMzYTUiLCJ1c2VySWQiOiIyOTQ5NDc4MjMifQ==</vt:lpwstr>
  </property>
</Properties>
</file>