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5A6480"/>
          <w:spacing w:val="20"/>
          <w:sz w:val="17"/>
          <w:szCs w:val="17"/>
        </w:rPr>
        <w:t xml:space="preserve">BBACVS · BLOCKCHAIN-BASED ACADEMIC CREDENTIAL VERIFICATION SYSTEM</w:t>
      </w:r>
    </w:p>
    <w:p>
      <w:pPr>
        <w:spacing w:after="160" w:line="260"/>
      </w:pPr>
      <w:r>
        <w:rPr>
          <w:rFonts w:ascii="Calibri" w:cs="Calibri" w:eastAsia="Calibri" w:hAnsi="Calibri"/>
          <w:b/>
          <w:bCs/>
          <w:color w:val="12275C"/>
          <w:sz w:val="44"/>
          <w:szCs w:val="44"/>
        </w:rPr>
        <w:t xml:space="preserve">How a credential moves through BBACVS, and what actually lands on the blockchain</w:t>
      </w:r>
    </w:p>
    <w:p>
      <w:pPr>
        <w:spacing w:after="220" w:line="300"/>
      </w:pPr>
      <w:r>
        <w:rPr>
          <w:rFonts w:ascii="Calibri" w:cs="Calibri" w:eastAsia="Calibri" w:hAnsi="Calibri"/>
          <w:color w:val="5A6480"/>
          <w:sz w:val="24"/>
          <w:szCs w:val="24"/>
        </w:rPr>
        <w:t xml:space="preserve">A walk through the as-built system: where each piece of data lives, which steps write to Ethereum, which stay off-chain, and why a verifier can trust the answer.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1620"/>
        <w:gridCol w:w="3240"/>
      </w:tblGrid>
      <w:tr>
        <w:trPr>
          <w:tblHeader/>
        </w:trPr>
        <w:tc>
          <w:tcPr>
            <w:tcW w:type="auto" w:w="0"/>
            <w:tcBorders>
              <w:top w:val="single" w:color="D7DCE8" w:sz="4"/>
              <w:left w:val="single" w:color="D7DCE8" w:sz="4"/>
              <w:bottom w:val="single" w:color="D7DCE8" w:sz="4"/>
              <w:right w:val="single" w:color="D7DCE8" w:sz="4"/>
            </w:tcBorders>
            <w:shd w:fill="F4F6FA" w:val="clear"/>
            <w:tcMar>
              <w:top w:type="dxa" w:w="70"/>
              <w:left w:type="dxa" w:w="110"/>
              <w:bottom w:type="dxa" w:w="70"/>
              <w:right w:type="dxa" w:w="110"/>
            </w:tcMar>
          </w:tcPr>
          <w:p>
            <w:pPr>
              <w:spacing w:after="0" w:line="270"/>
            </w:pPr>
            <w:r>
              <w:rPr>
                <w:rFonts w:ascii="Calibri" w:cs="Calibri" w:eastAsia="Calibri" w:hAnsi="Calibri"/>
                <w:b/>
                <w:bCs/>
                <w:color w:val="5A6480"/>
                <w:sz w:val="19"/>
                <w:szCs w:val="19"/>
              </w:rPr>
              <w:t xml:space="preserve">Network</w:t>
            </w:r>
          </w:p>
        </w:tc>
        <w:tc>
          <w:tcPr>
            <w:tcW w:type="auto" w:w="0"/>
            <w:tcBorders>
              <w:top w:val="single" w:color="D7DCE8" w:sz="4"/>
              <w:left w:val="single" w:color="D7DCE8" w:sz="4"/>
              <w:bottom w:val="single" w:color="D7DCE8" w:sz="4"/>
              <w:right w:val="single" w:color="D7DCE8" w:sz="4"/>
            </w:tcBorders>
            <w:shd w:fill="F4F6FA" w:val="clear"/>
            <w:tcMar>
              <w:top w:type="dxa" w:w="70"/>
              <w:left w:type="dxa" w:w="110"/>
              <w:bottom w:type="dxa" w:w="70"/>
              <w:right w:type="dxa" w:w="110"/>
            </w:tcMar>
          </w:tcPr>
          <w:p>
            <w:pPr>
              <w:spacing w:after="0" w:line="270"/>
            </w:pPr>
            <w:r>
              <w:rPr>
                <w:rFonts w:ascii="Calibri" w:cs="Calibri" w:eastAsia="Calibri" w:hAnsi="Calibri"/>
                <w:b/>
                <w:bCs/>
                <w:color w:val="5A6480"/>
                <w:sz w:val="19"/>
                <w:szCs w:val="19"/>
              </w:rPr>
              <w:t xml:space="preserve">Live at</w:t>
            </w:r>
          </w:p>
        </w:tc>
        <w:tc>
          <w:tcPr>
            <w:tcW w:type="auto" w:w="0"/>
            <w:tcBorders>
              <w:top w:val="single" w:color="D7DCE8" w:sz="4"/>
              <w:left w:val="single" w:color="D7DCE8" w:sz="4"/>
              <w:bottom w:val="single" w:color="D7DCE8" w:sz="4"/>
              <w:right w:val="single" w:color="D7DCE8" w:sz="4"/>
            </w:tcBorders>
            <w:shd w:fill="F4F6FA" w:val="clear"/>
            <w:tcMar>
              <w:top w:type="dxa" w:w="70"/>
              <w:left w:type="dxa" w:w="110"/>
              <w:bottom w:type="dxa" w:w="70"/>
              <w:right w:type="dxa" w:w="110"/>
            </w:tcMar>
          </w:tcPr>
          <w:p>
            <w:pPr>
              <w:spacing w:after="0" w:line="270"/>
            </w:pPr>
            <w:r>
              <w:rPr>
                <w:rFonts w:ascii="Calibri" w:cs="Calibri" w:eastAsia="Calibri" w:hAnsi="Calibri"/>
                <w:b/>
                <w:bCs/>
                <w:color w:val="5A6480"/>
                <w:sz w:val="19"/>
                <w:szCs w:val="19"/>
              </w:rPr>
              <w:t xml:space="preserve">Written</w:t>
            </w:r>
          </w:p>
        </w:tc>
        <w:tc>
          <w:tcPr>
            <w:tcW w:type="auto" w:w="0"/>
            <w:tcBorders>
              <w:top w:val="single" w:color="D7DCE8" w:sz="4"/>
              <w:left w:val="single" w:color="D7DCE8" w:sz="4"/>
              <w:bottom w:val="single" w:color="D7DCE8" w:sz="4"/>
              <w:right w:val="single" w:color="D7DCE8" w:sz="4"/>
            </w:tcBorders>
            <w:shd w:fill="F4F6FA" w:val="clear"/>
            <w:tcMar>
              <w:top w:type="dxa" w:w="70"/>
              <w:left w:type="dxa" w:w="110"/>
              <w:bottom w:type="dxa" w:w="70"/>
              <w:right w:type="dxa" w:w="110"/>
            </w:tcMar>
          </w:tcPr>
          <w:p>
            <w:pPr>
              <w:spacing w:after="0" w:line="270"/>
            </w:pPr>
            <w:r>
              <w:rPr>
                <w:rFonts w:ascii="Calibri" w:cs="Calibri" w:eastAsia="Calibri" w:hAnsi="Calibri"/>
                <w:b/>
                <w:bCs/>
                <w:color w:val="5A6480"/>
                <w:sz w:val="19"/>
                <w:szCs w:val="19"/>
              </w:rPr>
              <w:t xml:space="preserve">Registry today</w:t>
            </w:r>
          </w:p>
        </w:tc>
      </w:tr>
      <w:tr>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Ethereum Sepolia (chain id 11155111)</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bbacvs.kalootech.com</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15 September 2026</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5 issuers on-chain · 12 anchored credentials · 5 ZAQA-validated</w:t>
            </w:r>
          </w:p>
        </w:tc>
      </w:tr>
    </w:tbl>
    <w:p>
      <w:pPr>
        <w:spacing w:after="120"/>
      </w:pPr>
    </w:p>
    <w:p>
      <w:pPr>
        <w:spacing w:after="80" w:before="200"/>
      </w:pPr>
      <w:r>
        <w:rPr>
          <w:rFonts w:ascii="Calibri" w:cs="Calibri" w:eastAsia="Calibri" w:hAnsi="Calibri"/>
          <w:b/>
          <w:bCs/>
          <w:color w:val="17203A"/>
          <w:sz w:val="22"/>
          <w:szCs w:val="22"/>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spacing w:after="200"/>
      </w:pPr>
      <w:r>
        <w:rPr>
          <w:rFonts w:ascii="Calibri" w:cs="Calibri" w:eastAsia="Calibri" w:hAnsi="Calibri"/>
          <w:i/>
          <w:iCs/>
          <w:color w:val="5A6480"/>
          <w:sz w:val="18"/>
          <w:szCs w:val="18"/>
        </w:rPr>
        <w:t xml:space="preserve">Right-click the contents and choose Update Field after editing headings.</w:t>
      </w:r>
    </w:p>
    <w:p>
      <w:pPr>
        <w:pStyle w:val="Heading1"/>
        <w:spacing w:after="160" w:before="420"/>
      </w:pPr>
      <w:r>
        <w:rPr>
          <w:rFonts w:ascii="Calibri" w:cs="Calibri" w:eastAsia="Calibri" w:hAnsi="Calibri"/>
          <w:b/>
          <w:bCs/>
          <w:color w:val="12275C"/>
          <w:sz w:val="32"/>
          <w:szCs w:val="32"/>
        </w:rPr>
        <w:t xml:space="preserve">1. The three stores and their trust ranking</w:t>
      </w:r>
    </w:p>
    <w:p>
      <w:pPr>
        <w:spacing w:after="140" w:line="300"/>
      </w:pPr>
      <w:r>
        <w:rPr>
          <w:rFonts w:ascii="Calibri" w:cs="Calibri" w:eastAsia="Calibri" w:hAnsi="Calibri"/>
          <w:color w:val="17203A"/>
          <w:sz w:val="22"/>
          <w:szCs w:val="22"/>
        </w:rPr>
        <w:t xml:space="preserve">BBACVS keeps data in three places with a strict hierarchy. The blockchain is the only source that decides whether a credential is genuine. IPFS holds the encrypted document the hash was computed from. MongoDB is a convenience index for portals and workflows, and nothing in it can make a forged credential verify.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5760"/>
      </w:tblGrid>
      <w:tr>
        <w:trPr>
          <w:tblHeader/>
        </w:trPr>
        <w:tc>
          <w:tcPr>
            <w:tcW w:type="auto" w:w="0"/>
            <w:tcBorders>
              <w:top w:val="single" w:color="D7DCE8" w:sz="4"/>
              <w:left w:val="single" w:color="D7DCE8" w:sz="4"/>
              <w:bottom w:val="single" w:color="D7DCE8" w:sz="4"/>
              <w:right w:val="single" w:color="D7DCE8" w:sz="4"/>
            </w:tcBorders>
            <w:shd w:fill="F4F6FA" w:val="clear"/>
            <w:tcMar>
              <w:top w:type="dxa" w:w="70"/>
              <w:left w:type="dxa" w:w="110"/>
              <w:bottom w:type="dxa" w:w="70"/>
              <w:right w:type="dxa" w:w="110"/>
            </w:tcMar>
          </w:tcPr>
          <w:p>
            <w:pPr>
              <w:spacing w:after="0" w:line="270"/>
            </w:pPr>
            <w:r>
              <w:rPr>
                <w:rFonts w:ascii="Calibri" w:cs="Calibri" w:eastAsia="Calibri" w:hAnsi="Calibri"/>
                <w:b/>
                <w:bCs/>
                <w:color w:val="5A6480"/>
                <w:sz w:val="19"/>
                <w:szCs w:val="19"/>
              </w:rPr>
              <w:t xml:space="preserve">Store</w:t>
            </w:r>
          </w:p>
        </w:tc>
        <w:tc>
          <w:tcPr>
            <w:tcW w:type="auto" w:w="0"/>
            <w:tcBorders>
              <w:top w:val="single" w:color="D7DCE8" w:sz="4"/>
              <w:left w:val="single" w:color="D7DCE8" w:sz="4"/>
              <w:bottom w:val="single" w:color="D7DCE8" w:sz="4"/>
              <w:right w:val="single" w:color="D7DCE8" w:sz="4"/>
            </w:tcBorders>
            <w:shd w:fill="F4F6FA" w:val="clear"/>
            <w:tcMar>
              <w:top w:type="dxa" w:w="70"/>
              <w:left w:type="dxa" w:w="110"/>
              <w:bottom w:type="dxa" w:w="70"/>
              <w:right w:type="dxa" w:w="110"/>
            </w:tcMar>
          </w:tcPr>
          <w:p>
            <w:pPr>
              <w:spacing w:after="0" w:line="270"/>
            </w:pPr>
            <w:r>
              <w:rPr>
                <w:rFonts w:ascii="Calibri" w:cs="Calibri" w:eastAsia="Calibri" w:hAnsi="Calibri"/>
                <w:b/>
                <w:bCs/>
                <w:color w:val="5A6480"/>
                <w:sz w:val="19"/>
                <w:szCs w:val="19"/>
              </w:rPr>
              <w:t xml:space="preserve">Role</w:t>
            </w:r>
          </w:p>
        </w:tc>
        <w:tc>
          <w:tcPr>
            <w:tcW w:type="auto" w:w="0"/>
            <w:tcBorders>
              <w:top w:val="single" w:color="D7DCE8" w:sz="4"/>
              <w:left w:val="single" w:color="D7DCE8" w:sz="4"/>
              <w:bottom w:val="single" w:color="D7DCE8" w:sz="4"/>
              <w:right w:val="single" w:color="D7DCE8" w:sz="4"/>
            </w:tcBorders>
            <w:shd w:fill="F4F6FA" w:val="clear"/>
            <w:tcMar>
              <w:top w:type="dxa" w:w="70"/>
              <w:left w:type="dxa" w:w="110"/>
              <w:bottom w:type="dxa" w:w="70"/>
              <w:right w:type="dxa" w:w="110"/>
            </w:tcMar>
          </w:tcPr>
          <w:p>
            <w:pPr>
              <w:spacing w:after="0" w:line="270"/>
            </w:pPr>
            <w:r>
              <w:rPr>
                <w:rFonts w:ascii="Calibri" w:cs="Calibri" w:eastAsia="Calibri" w:hAnsi="Calibri"/>
                <w:b/>
                <w:bCs/>
                <w:color w:val="5A6480"/>
                <w:sz w:val="19"/>
                <w:szCs w:val="19"/>
              </w:rPr>
              <w:t xml:space="preserve">Holds</w:t>
            </w:r>
          </w:p>
        </w:tc>
      </w:tr>
      <w:tr>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Ethereum Sepolia</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Authoritative</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Which wallet addresses are authorised issuers; SHA-256 hash of every issued credential; keccak hash of its IPFS content ID; issuer address, DID and block timestamp; revocations with reason code</w:t>
            </w:r>
          </w:p>
        </w:tc>
      </w:tr>
      <w:tr>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IPFS via Pinata</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Decentralised store</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The signed W3C Verifiable Credential, AES-256-GCM encrypted; institutions' uploaded accreditation documents; addressed by content (CID), so any change is a new CID</w:t>
            </w:r>
          </w:p>
        </w:tc>
      </w:tr>
      <w:tr>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MongoDB (local)</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Non-authoritative index</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Accounts, roles, institution profiles, encrypted signing keys; credential index (names, qualification, year, QR payload, CID, anchor transaction); ZAQA validation state, suspensions, disputes, applications, billing; append-only event history per record</w:t>
            </w:r>
          </w:p>
        </w:tc>
      </w:tr>
    </w:tbl>
    <w:p>
      <w:pPr>
        <w:spacing w:after="120"/>
      </w:pPr>
    </w:p>
    <w:p>
      <w:pPr>
        <w:keepNext/>
        <w:spacing w:after="60" w:before="160"/>
        <w:jc w:val="center"/>
      </w:pPr>
      <w:r>
        <w:drawing>
          <wp:inline distT="0" distB="0" distL="0" distR="0">
            <wp:extent cx="5762625"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619250"/>
                    </a:xfrm>
                    <a:prstGeom prst="rect">
                      <a:avLst/>
                    </a:prstGeom>
                  </pic:spPr>
                </pic:pic>
              </a:graphicData>
            </a:graphic>
          </wp:inline>
        </w:drawing>
      </w:r>
    </w:p>
    <w:p>
      <w:pPr>
        <w:spacing w:after="220" w:line="270"/>
        <w:jc w:val="left"/>
      </w:pPr>
      <w:r>
        <w:rPr>
          <w:rFonts w:ascii="Calibri" w:cs="Calibri" w:eastAsia="Calibri" w:hAnsi="Calibri"/>
          <w:i/>
          <w:iCs/>
          <w:color w:val="5A6480"/>
          <w:sz w:val="19"/>
          <w:szCs w:val="19"/>
        </w:rPr>
        <w:t xml:space="preserve">Figure 1. Every write goes through the API. Portals never talk to the chain directly except in MetaMask mode, where the institution's browser sends the anchoring transaction itself (section 3). The verifier path reads the chain through the API with a zero-gas call.</w:t>
      </w:r>
    </w:p>
    <w:p>
      <w:pPr>
        <w:pBdr>
          <w:left w:val="single" w:color="12275C" w:sz="18" w:space="8"/>
        </w:pBdr>
        <w:shd w:fill="F4F6FA" w:val="clear"/>
        <w:spacing w:after="160" w:before="120" w:line="290"/>
        <w:ind w:left="120"/>
      </w:pPr>
      <w:r>
        <w:rPr>
          <w:rFonts w:ascii="Calibri" w:cs="Calibri" w:eastAsia="Calibri" w:hAnsi="Calibri"/>
          <w:b/>
          <w:bCs/>
          <w:color w:val="17203A"/>
          <w:sz w:val="22"/>
          <w:szCs w:val="22"/>
        </w:rPr>
        <w:t xml:space="preserve">Why this ranking matters.</w:t>
      </w:r>
      <w:r>
        <w:rPr>
          <w:rFonts w:ascii="Calibri" w:cs="Calibri" w:eastAsia="Calibri" w:hAnsi="Calibri"/>
          <w:color w:val="17203A"/>
          <w:sz w:val="22"/>
          <w:szCs w:val="22"/>
        </w:rPr>
        <w:t xml:space="preserve"> Deleting the MongoDB database loses names and workflow state, but every anchored credential can still be re-verified, and the index can be rebuilt from the </w:t>
      </w:r>
      <w:r>
        <w:rPr>
          <w:rFonts w:ascii="Consolas" w:cs="Consolas" w:eastAsia="Consolas" w:hAnsi="Consolas"/>
          <w:color w:val="17203A"/>
          <w:sz w:val="20"/>
          <w:szCs w:val="20"/>
          <w:shd w:fill="EEF1F7" w:val="clear"/>
        </w:rPr>
        <w:t xml:space="preserve">CredentialIssued</w:t>
      </w:r>
      <w:r>
        <w:rPr>
          <w:rFonts w:ascii="Calibri" w:cs="Calibri" w:eastAsia="Calibri" w:hAnsi="Calibri"/>
          <w:color w:val="17203A"/>
          <w:sz w:val="22"/>
          <w:szCs w:val="22"/>
        </w:rPr>
        <w:t xml:space="preserve"> events plus the IPFS documents. Editing a MongoDB row cannot make a tampered certificate pass, because the verifier recomputes and compares hashes against the chain.</w:t>
      </w:r>
    </w:p>
    <w:p>
      <w:pPr>
        <w:pStyle w:val="Heading1"/>
        <w:spacing w:after="160" w:before="420"/>
      </w:pPr>
      <w:r>
        <w:rPr>
          <w:rFonts w:ascii="Calibri" w:cs="Calibri" w:eastAsia="Calibri" w:hAnsi="Calibri"/>
          <w:b/>
          <w:bCs/>
          <w:color w:val="12275C"/>
          <w:sz w:val="32"/>
          <w:szCs w:val="32"/>
        </w:rPr>
        <w:t xml:space="preserve">2. Authorising an institution to issue</w:t>
      </w:r>
    </w:p>
    <w:p>
      <w:pPr>
        <w:spacing w:after="140" w:line="300"/>
      </w:pPr>
      <w:r>
        <w:rPr>
          <w:rFonts w:ascii="Calibri" w:cs="Calibri" w:eastAsia="Calibri" w:hAnsi="Calibri"/>
          <w:color w:val="17203A"/>
          <w:sz w:val="22"/>
          <w:szCs w:val="22"/>
        </w:rPr>
        <w:t xml:space="preserve">Before an institution can anchor anything, its wallet address must hold </w:t>
      </w:r>
      <w:r>
        <w:rPr>
          <w:rFonts w:ascii="Consolas" w:cs="Consolas" w:eastAsia="Consolas" w:hAnsi="Consolas"/>
          <w:color w:val="17203A"/>
          <w:sz w:val="20"/>
          <w:szCs w:val="20"/>
          <w:shd w:fill="EEF1F7" w:val="clear"/>
        </w:rPr>
        <w:t xml:space="preserve">ISSUER_ROLE</w:t>
      </w:r>
      <w:r>
        <w:rPr>
          <w:rFonts w:ascii="Calibri" w:cs="Calibri" w:eastAsia="Calibri" w:hAnsi="Calibri"/>
          <w:color w:val="17203A"/>
          <w:sz w:val="22"/>
          <w:szCs w:val="22"/>
        </w:rPr>
        <w:t xml:space="preserve"> in the </w:t>
      </w:r>
      <w:r>
        <w:rPr>
          <w:rFonts w:ascii="Consolas" w:cs="Consolas" w:eastAsia="Consolas" w:hAnsi="Consolas"/>
          <w:color w:val="17203A"/>
          <w:sz w:val="20"/>
          <w:szCs w:val="20"/>
          <w:shd w:fill="EEF1F7" w:val="clear"/>
        </w:rPr>
        <w:t xml:space="preserve">IssuerRegistry</w:t>
      </w:r>
      <w:r>
        <w:rPr>
          <w:rFonts w:ascii="Calibri" w:cs="Calibri" w:eastAsia="Calibri" w:hAnsi="Calibri"/>
          <w:color w:val="17203A"/>
          <w:sz w:val="22"/>
          <w:szCs w:val="22"/>
        </w:rPr>
        <w:t xml:space="preserve"> contract. Only the </w:t>
      </w:r>
      <w:r>
        <w:rPr>
          <w:rFonts w:ascii="Consolas" w:cs="Consolas" w:eastAsia="Consolas" w:hAnsi="Consolas"/>
          <w:color w:val="17203A"/>
          <w:sz w:val="20"/>
          <w:szCs w:val="20"/>
          <w:shd w:fill="EEF1F7" w:val="clear"/>
        </w:rPr>
        <w:t xml:space="preserve">GovernanceSafe</w:t>
      </w:r>
      <w:r>
        <w:rPr>
          <w:rFonts w:ascii="Calibri" w:cs="Calibri" w:eastAsia="Calibri" w:hAnsi="Calibri"/>
          <w:color w:val="17203A"/>
          <w:sz w:val="22"/>
          <w:szCs w:val="22"/>
        </w:rPr>
        <w:t xml:space="preserve"> can grant that role, and the Safe needs two of its three regulator signatures. In the deployed prototype the API holds signer keys 1 and 2 and performs both steps.</w:t>
      </w:r>
    </w:p>
    <w:p>
      <w:pPr>
        <w:keepNext/>
        <w:spacing w:after="60" w:before="160"/>
        <w:jc w:val="center"/>
      </w:pPr>
      <w:r>
        <w:drawing>
          <wp:inline distT="0" distB="0" distL="0" distR="0">
            <wp:extent cx="5762625"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105025"/>
                    </a:xfrm>
                    <a:prstGeom prst="rect">
                      <a:avLst/>
                    </a:prstGeom>
                  </pic:spPr>
                </pic:pic>
              </a:graphicData>
            </a:graphic>
          </wp:inline>
        </w:drawing>
      </w:r>
    </w:p>
    <w:p>
      <w:pPr>
        <w:spacing w:after="220" w:line="270"/>
        <w:jc w:val="left"/>
      </w:pPr>
      <w:r>
        <w:rPr>
          <w:rFonts w:ascii="Calibri" w:cs="Calibri" w:eastAsia="Calibri" w:hAnsi="Calibri"/>
          <w:i/>
          <w:iCs/>
          <w:color w:val="5A6480"/>
          <w:sz w:val="19"/>
          <w:szCs w:val="19"/>
        </w:rPr>
        <w:t xml:space="preserve">Figure 2. Two regulator signatures, one on-chain role grant. The institution's record is saved first with onChain: false, so a failed transaction can be retried without creating a duplicate wallet. Self-registered institutions sit at heaStatus: pending and only reach this sequence when their regulator approves them.</w:t>
      </w:r>
    </w:p>
    <w:p>
      <w:pPr>
        <w:pStyle w:val="Heading2"/>
        <w:spacing w:after="100" w:before="260"/>
      </w:pPr>
      <w:r>
        <w:rPr>
          <w:rFonts w:ascii="Calibri" w:cs="Calibri" w:eastAsia="Calibri" w:hAnsi="Calibri"/>
          <w:b/>
          <w:bCs/>
          <w:color w:val="17203A"/>
          <w:sz w:val="25"/>
          <w:szCs w:val="25"/>
        </w:rPr>
        <w:t xml:space="preserve">What the registry stores per issuer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tblHeader/>
        </w:trPr>
        <w:tc>
          <w:tcPr>
            <w:tcW w:type="auto" w:w="0"/>
            <w:tcBorders>
              <w:top w:val="single" w:color="D7DCE8" w:sz="4"/>
              <w:left w:val="single" w:color="D7DCE8" w:sz="4"/>
              <w:bottom w:val="single" w:color="D7DCE8" w:sz="4"/>
              <w:right w:val="single" w:color="D7DCE8" w:sz="4"/>
            </w:tcBorders>
            <w:shd w:fill="F4F6FA" w:val="clear"/>
            <w:tcMar>
              <w:top w:type="dxa" w:w="70"/>
              <w:left w:type="dxa" w:w="110"/>
              <w:bottom w:type="dxa" w:w="70"/>
              <w:right w:type="dxa" w:w="110"/>
            </w:tcMar>
          </w:tcPr>
          <w:p>
            <w:pPr>
              <w:spacing w:after="0" w:line="270"/>
            </w:pPr>
            <w:r>
              <w:rPr>
                <w:rFonts w:ascii="Calibri" w:cs="Calibri" w:eastAsia="Calibri" w:hAnsi="Calibri"/>
                <w:b/>
                <w:bCs/>
                <w:color w:val="5A6480"/>
                <w:sz w:val="19"/>
                <w:szCs w:val="19"/>
              </w:rPr>
              <w:t xml:space="preserve">Field</w:t>
            </w:r>
          </w:p>
        </w:tc>
        <w:tc>
          <w:tcPr>
            <w:tcW w:type="auto" w:w="0"/>
            <w:tcBorders>
              <w:top w:val="single" w:color="D7DCE8" w:sz="4"/>
              <w:left w:val="single" w:color="D7DCE8" w:sz="4"/>
              <w:bottom w:val="single" w:color="D7DCE8" w:sz="4"/>
              <w:right w:val="single" w:color="D7DCE8" w:sz="4"/>
            </w:tcBorders>
            <w:shd w:fill="F4F6FA" w:val="clear"/>
            <w:tcMar>
              <w:top w:type="dxa" w:w="70"/>
              <w:left w:type="dxa" w:w="110"/>
              <w:bottom w:type="dxa" w:w="70"/>
              <w:right w:type="dxa" w:w="110"/>
            </w:tcMar>
          </w:tcPr>
          <w:p>
            <w:pPr>
              <w:spacing w:after="0" w:line="270"/>
            </w:pPr>
            <w:r>
              <w:rPr>
                <w:rFonts w:ascii="Calibri" w:cs="Calibri" w:eastAsia="Calibri" w:hAnsi="Calibri"/>
                <w:b/>
                <w:bCs/>
                <w:color w:val="5A6480"/>
                <w:sz w:val="19"/>
                <w:szCs w:val="19"/>
              </w:rPr>
              <w:t xml:space="preserve">Meaning</w:t>
            </w:r>
          </w:p>
        </w:tc>
      </w:tr>
      <w:tr>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onsolas" w:cs="Consolas" w:eastAsia="Consolas" w:hAnsi="Consolas"/>
                <w:color w:val="17203A"/>
                <w:sz w:val="20"/>
                <w:szCs w:val="20"/>
                <w:shd w:fill="EEF1F7" w:val="clear"/>
              </w:rPr>
              <w:t xml:space="preserve">did</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keccak256 of the string </w:t>
            </w:r>
            <w:r>
              <w:rPr>
                <w:rFonts w:ascii="Consolas" w:cs="Consolas" w:eastAsia="Consolas" w:hAnsi="Consolas"/>
                <w:color w:val="17203A"/>
                <w:sz w:val="20"/>
                <w:szCs w:val="20"/>
                <w:shd w:fill="EEF1F7" w:val="clear"/>
              </w:rPr>
              <w:t xml:space="preserve">did:ethr:0x…</w:t>
            </w:r>
            <w:r>
              <w:rPr>
                <w:rFonts w:ascii="Calibri" w:cs="Calibri" w:eastAsia="Calibri" w:hAnsi="Calibri"/>
                <w:color w:val="17203A"/>
                <w:sz w:val="20"/>
                <w:szCs w:val="20"/>
              </w:rPr>
              <w:t xml:space="preserve">, stored as bytes32</w:t>
            </w:r>
          </w:p>
        </w:tc>
      </w:tr>
      <w:tr>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onsolas" w:cs="Consolas" w:eastAsia="Consolas" w:hAnsi="Consolas"/>
                <w:color w:val="17203A"/>
                <w:sz w:val="20"/>
                <w:szCs w:val="20"/>
                <w:shd w:fill="EEF1F7" w:val="clear"/>
              </w:rPr>
              <w:t xml:space="preserve">institution</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Name truncated to 31 bytes, stored as bytes32 (a label, not the legal record)</w:t>
            </w:r>
          </w:p>
        </w:tc>
      </w:tr>
      <w:tr>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onsolas" w:cs="Consolas" w:eastAsia="Consolas" w:hAnsi="Consolas"/>
                <w:color w:val="17203A"/>
                <w:sz w:val="20"/>
                <w:szCs w:val="20"/>
                <w:shd w:fill="EEF1F7" w:val="clear"/>
              </w:rPr>
              <w:t xml:space="preserve">registeredAt</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Block timestamp</w:t>
            </w:r>
          </w:p>
        </w:tc>
      </w:tr>
      <w:tr>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onsolas" w:cs="Consolas" w:eastAsia="Consolas" w:hAnsi="Consolas"/>
                <w:color w:val="17203A"/>
                <w:sz w:val="20"/>
                <w:szCs w:val="20"/>
                <w:shd w:fill="EEF1F7" w:val="clear"/>
              </w:rPr>
              <w:t xml:space="preserve">active</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True until </w:t>
            </w:r>
            <w:r>
              <w:rPr>
                <w:rFonts w:ascii="Consolas" w:cs="Consolas" w:eastAsia="Consolas" w:hAnsi="Consolas"/>
                <w:color w:val="17203A"/>
                <w:sz w:val="20"/>
                <w:szCs w:val="20"/>
                <w:shd w:fill="EEF1F7" w:val="clear"/>
              </w:rPr>
              <w:t xml:space="preserve">revokeIssuerRole</w:t>
            </w:r>
            <w:r>
              <w:rPr>
                <w:rFonts w:ascii="Calibri" w:cs="Calibri" w:eastAsia="Calibri" w:hAnsi="Calibri"/>
                <w:color w:val="17203A"/>
                <w:sz w:val="20"/>
                <w:szCs w:val="20"/>
              </w:rPr>
              <w:t xml:space="preserve"> is executed through the Safe</w:t>
            </w:r>
          </w:p>
        </w:tc>
      </w:tr>
    </w:tbl>
    <w:p>
      <w:pPr>
        <w:spacing w:after="120"/>
      </w:pPr>
    </w:p>
    <w:p>
      <w:pPr>
        <w:spacing w:after="140" w:line="300"/>
      </w:pPr>
      <w:r>
        <w:rPr>
          <w:rFonts w:ascii="Calibri" w:cs="Calibri" w:eastAsia="Calibri" w:hAnsi="Calibri"/>
          <w:color w:val="17203A"/>
          <w:sz w:val="22"/>
          <w:szCs w:val="22"/>
        </w:rPr>
        <w:t xml:space="preserve">Two signing modes exist. In </w:t>
      </w:r>
      <w:r>
        <w:rPr>
          <w:rFonts w:ascii="Calibri" w:cs="Calibri" w:eastAsia="Calibri" w:hAnsi="Calibri"/>
          <w:b/>
          <w:bCs/>
          <w:color w:val="17203A"/>
          <w:sz w:val="22"/>
          <w:szCs w:val="22"/>
        </w:rPr>
        <w:t xml:space="preserve">server mode</w:t>
      </w:r>
      <w:r>
        <w:rPr>
          <w:rFonts w:ascii="Calibri" w:cs="Calibri" w:eastAsia="Calibri" w:hAnsi="Calibri"/>
          <w:color w:val="17203A"/>
          <w:sz w:val="22"/>
          <w:szCs w:val="22"/>
        </w:rPr>
        <w:t xml:space="preserve"> the API generates the wallet, and that same key later signs the anchoring transaction. In </w:t>
      </w:r>
      <w:r>
        <w:rPr>
          <w:rFonts w:ascii="Calibri" w:cs="Calibri" w:eastAsia="Calibri" w:hAnsi="Calibri"/>
          <w:b/>
          <w:bCs/>
          <w:color w:val="17203A"/>
          <w:sz w:val="22"/>
          <w:szCs w:val="22"/>
        </w:rPr>
        <w:t xml:space="preserve">MetaMask mode</w:t>
      </w:r>
      <w:r>
        <w:rPr>
          <w:rFonts w:ascii="Calibri" w:cs="Calibri" w:eastAsia="Calibri" w:hAnsi="Calibri"/>
          <w:color w:val="17203A"/>
          <w:sz w:val="22"/>
          <w:szCs w:val="22"/>
        </w:rPr>
        <w:t xml:space="preserve"> the institution's own MetaMask address receives the role, and the API only ever signs the VC and QR with a separate server-held key. Either way the key that signs credentials at rest is AES-256-GCM encrypted in MongoDB.</w:t>
      </w:r>
    </w:p>
    <w:p>
      <w:pPr>
        <w:pStyle w:val="Heading1"/>
        <w:spacing w:after="160" w:before="420"/>
      </w:pPr>
      <w:r>
        <w:rPr>
          <w:rFonts w:ascii="Calibri" w:cs="Calibri" w:eastAsia="Calibri" w:hAnsi="Calibri"/>
          <w:b/>
          <w:bCs/>
          <w:color w:val="12275C"/>
          <w:sz w:val="32"/>
          <w:szCs w:val="32"/>
        </w:rPr>
        <w:t xml:space="preserve">3. Issuing a credential</w:t>
      </w:r>
    </w:p>
    <w:p>
      <w:pPr>
        <w:spacing w:after="140" w:line="300"/>
      </w:pPr>
      <w:r>
        <w:rPr>
          <w:rFonts w:ascii="Calibri" w:cs="Calibri" w:eastAsia="Calibri" w:hAnsi="Calibri"/>
          <w:color w:val="17203A"/>
          <w:sz w:val="22"/>
          <w:szCs w:val="22"/>
        </w:rPr>
        <w:t xml:space="preserve">Issuance is a fixed pipeline in </w:t>
      </w:r>
      <w:r>
        <w:rPr>
          <w:rFonts w:ascii="Consolas" w:cs="Consolas" w:eastAsia="Consolas" w:hAnsi="Consolas"/>
          <w:color w:val="17203A"/>
          <w:sz w:val="20"/>
          <w:szCs w:val="20"/>
          <w:shd w:fill="EEF1F7" w:val="clear"/>
        </w:rPr>
        <w:t xml:space="preserve">issuance.service.js</w:t>
      </w:r>
      <w:r>
        <w:rPr>
          <w:rFonts w:ascii="Calibri" w:cs="Calibri" w:eastAsia="Calibri" w:hAnsi="Calibri"/>
          <w:color w:val="17203A"/>
          <w:sz w:val="22"/>
          <w:szCs w:val="22"/>
        </w:rPr>
        <w:t xml:space="preserve">, shared by the institution portal, the ECZ certificate register and the graduate application workflow, so every credential in the system has exactly the same shape.</w:t>
      </w:r>
    </w:p>
    <w:p>
      <w:pPr>
        <w:keepNext/>
        <w:spacing w:after="60" w:before="160"/>
        <w:jc w:val="center"/>
      </w:pPr>
      <w:r>
        <w:drawing>
          <wp:inline distT="0" distB="0" distL="0" distR="0">
            <wp:extent cx="576262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647950"/>
                    </a:xfrm>
                    <a:prstGeom prst="rect">
                      <a:avLst/>
                    </a:prstGeom>
                  </pic:spPr>
                </pic:pic>
              </a:graphicData>
            </a:graphic>
          </wp:inline>
        </w:drawing>
      </w:r>
    </w:p>
    <w:p>
      <w:pPr>
        <w:spacing w:after="220" w:line="270"/>
        <w:jc w:val="left"/>
      </w:pPr>
      <w:r>
        <w:rPr>
          <w:rFonts w:ascii="Calibri" w:cs="Calibri" w:eastAsia="Calibri" w:hAnsi="Calibri"/>
          <w:i/>
          <w:iCs/>
          <w:color w:val="5A6480"/>
          <w:sz w:val="19"/>
          <w:szCs w:val="19"/>
        </w:rPr>
        <w:t xml:space="preserve">Figure 3. Only two 32-byte values reach the chain. The credential hash commits to the whole signed document, and the CID hash commits to the encrypted copy on IPFS. Names, the NRC and the qualification title never leave the API and MongoDB in plain form, and IPFS only ever holds ciphertext.</w:t>
      </w:r>
    </w:p>
    <w:p>
      <w:pPr>
        <w:pStyle w:val="ListParagraph"/>
        <w:numPr>
          <w:ilvl w:val="0"/>
          <w:numId w:val="2"/>
        </w:numPr>
        <w:spacing w:after="90" w:line="290"/>
      </w:pPr>
      <w:r>
        <w:rPr>
          <w:rFonts w:ascii="Calibri" w:cs="Calibri" w:eastAsia="Calibri" w:hAnsi="Calibri"/>
          <w:b/>
          <w:bCs/>
          <w:color w:val="17203A"/>
          <w:sz w:val="22"/>
          <w:szCs w:val="22"/>
        </w:rPr>
        <w:t xml:space="preserve">Gate checks.</w:t>
      </w:r>
      <w:r>
        <w:rPr>
          <w:rFonts w:ascii="Calibri" w:cs="Calibri" w:eastAsia="Calibri" w:hAnsi="Calibri"/>
          <w:color w:val="17203A"/>
          <w:sz w:val="22"/>
          <w:szCs w:val="22"/>
        </w:rPr>
        <w:t xml:space="preserve"> The institution must be regulator-approved, the qualification must match an accredited programme when a programme register exists, and a duplicate for the same person, programme and year is refused (409). An in-memory lock stops a double-click from reaching the chain twice.</w:t>
      </w:r>
    </w:p>
    <w:p>
      <w:pPr>
        <w:pStyle w:val="ListParagraph"/>
        <w:numPr>
          <w:ilvl w:val="0"/>
          <w:numId w:val="2"/>
        </w:numPr>
        <w:spacing w:after="90" w:line="290"/>
      </w:pPr>
      <w:r>
        <w:rPr>
          <w:rFonts w:ascii="Calibri" w:cs="Calibri" w:eastAsia="Calibri" w:hAnsi="Calibri"/>
          <w:b/>
          <w:bCs/>
          <w:color w:val="17203A"/>
          <w:sz w:val="22"/>
          <w:szCs w:val="22"/>
        </w:rPr>
        <w:t xml:space="preserve">Build the VC.</w:t>
      </w:r>
      <w:r>
        <w:rPr>
          <w:rFonts w:ascii="Calibri" w:cs="Calibri" w:eastAsia="Calibri" w:hAnsi="Calibri"/>
          <w:color w:val="17203A"/>
          <w:sz w:val="22"/>
          <w:szCs w:val="22"/>
        </w:rPr>
        <w:t xml:space="preserve"> </w:t>
      </w:r>
      <w:r>
        <w:rPr>
          <w:rFonts w:ascii="Consolas" w:cs="Consolas" w:eastAsia="Consolas" w:hAnsi="Consolas"/>
          <w:color w:val="17203A"/>
          <w:sz w:val="20"/>
          <w:szCs w:val="20"/>
          <w:shd w:fill="EEF1F7" w:val="clear"/>
        </w:rPr>
        <w:t xml:space="preserve">buildCredential</w:t>
      </w:r>
      <w:r>
        <w:rPr>
          <w:rFonts w:ascii="Calibri" w:cs="Calibri" w:eastAsia="Calibri" w:hAnsi="Calibri"/>
          <w:color w:val="17203A"/>
          <w:sz w:val="22"/>
          <w:szCs w:val="22"/>
        </w:rPr>
        <w:t xml:space="preserve"> creates a W3C Verifiable Credential with the issuer DID, the holder DID (an existing graduate account's DID, otherwise a fresh </w:t>
      </w:r>
      <w:r>
        <w:rPr>
          <w:rFonts w:ascii="Consolas" w:cs="Consolas" w:eastAsia="Consolas" w:hAnsi="Consolas"/>
          <w:color w:val="17203A"/>
          <w:sz w:val="20"/>
          <w:szCs w:val="20"/>
          <w:shd w:fill="EEF1F7" w:val="clear"/>
        </w:rPr>
        <w:t xml:space="preserve">did:ethr</w:t>
      </w:r>
      <w:r>
        <w:rPr>
          <w:rFonts w:ascii="Calibri" w:cs="Calibri" w:eastAsia="Calibri" w:hAnsi="Calibri"/>
          <w:color w:val="17203A"/>
          <w:sz w:val="22"/>
          <w:szCs w:val="22"/>
        </w:rPr>
        <w:t xml:space="preserve">), and the claims.</w:t>
      </w:r>
    </w:p>
    <w:p>
      <w:pPr>
        <w:pStyle w:val="ListParagraph"/>
        <w:numPr>
          <w:ilvl w:val="0"/>
          <w:numId w:val="2"/>
        </w:numPr>
        <w:spacing w:after="90" w:line="290"/>
      </w:pPr>
      <w:r>
        <w:rPr>
          <w:rFonts w:ascii="Calibri" w:cs="Calibri" w:eastAsia="Calibri" w:hAnsi="Calibri"/>
          <w:b/>
          <w:bCs/>
          <w:color w:val="17203A"/>
          <w:sz w:val="22"/>
          <w:szCs w:val="22"/>
        </w:rPr>
        <w:t xml:space="preserve">Sign it.</w:t>
      </w:r>
      <w:r>
        <w:rPr>
          <w:rFonts w:ascii="Calibri" w:cs="Calibri" w:eastAsia="Calibri" w:hAnsi="Calibri"/>
          <w:color w:val="17203A"/>
          <w:sz w:val="22"/>
          <w:szCs w:val="22"/>
        </w:rPr>
        <w:t xml:space="preserve"> </w:t>
      </w:r>
      <w:r>
        <w:rPr>
          <w:rFonts w:ascii="Consolas" w:cs="Consolas" w:eastAsia="Consolas" w:hAnsi="Consolas"/>
          <w:color w:val="17203A"/>
          <w:sz w:val="20"/>
          <w:szCs w:val="20"/>
          <w:shd w:fill="EEF1F7" w:val="clear"/>
        </w:rPr>
        <w:t xml:space="preserve">signCredential</w:t>
      </w:r>
      <w:r>
        <w:rPr>
          <w:rFonts w:ascii="Calibri" w:cs="Calibri" w:eastAsia="Calibri" w:hAnsi="Calibri"/>
          <w:color w:val="17203A"/>
          <w:sz w:val="22"/>
          <w:szCs w:val="22"/>
        </w:rPr>
        <w:t xml:space="preserve"> attaches an </w:t>
      </w:r>
      <w:r>
        <w:rPr>
          <w:rFonts w:ascii="Consolas" w:cs="Consolas" w:eastAsia="Consolas" w:hAnsi="Consolas"/>
          <w:color w:val="17203A"/>
          <w:sz w:val="20"/>
          <w:szCs w:val="20"/>
          <w:shd w:fill="EEF1F7" w:val="clear"/>
        </w:rPr>
        <w:t xml:space="preserve">EcdsaSecp256k1Signature2019</w:t>
      </w:r>
      <w:r>
        <w:rPr>
          <w:rFonts w:ascii="Calibri" w:cs="Calibri" w:eastAsia="Calibri" w:hAnsi="Calibri"/>
          <w:color w:val="17203A"/>
          <w:sz w:val="22"/>
          <w:szCs w:val="22"/>
        </w:rPr>
        <w:t xml:space="preserve"> proof made with the institution's decrypted signing key.</w:t>
      </w:r>
    </w:p>
    <w:p>
      <w:pPr>
        <w:pStyle w:val="ListParagraph"/>
        <w:numPr>
          <w:ilvl w:val="0"/>
          <w:numId w:val="2"/>
        </w:numPr>
        <w:spacing w:after="90" w:line="290"/>
      </w:pPr>
      <w:r>
        <w:rPr>
          <w:rFonts w:ascii="Calibri" w:cs="Calibri" w:eastAsia="Calibri" w:hAnsi="Calibri"/>
          <w:b/>
          <w:bCs/>
          <w:color w:val="17203A"/>
          <w:sz w:val="22"/>
          <w:szCs w:val="22"/>
        </w:rPr>
        <w:t xml:space="preserve">Hash it.</w:t>
      </w:r>
      <w:r>
        <w:rPr>
          <w:rFonts w:ascii="Calibri" w:cs="Calibri" w:eastAsia="Calibri" w:hAnsi="Calibri"/>
          <w:color w:val="17203A"/>
          <w:sz w:val="22"/>
          <w:szCs w:val="22"/>
        </w:rPr>
        <w:t xml:space="preserve"> </w:t>
      </w:r>
      <w:r>
        <w:rPr>
          <w:rFonts w:ascii="Consolas" w:cs="Consolas" w:eastAsia="Consolas" w:hAnsi="Consolas"/>
          <w:color w:val="17203A"/>
          <w:sz w:val="20"/>
          <w:szCs w:val="20"/>
          <w:shd w:fill="EEF1F7" w:val="clear"/>
        </w:rPr>
        <w:t xml:space="preserve">sha256(JSON.stringify(signedVC))</w:t>
      </w:r>
      <w:r>
        <w:rPr>
          <w:rFonts w:ascii="Calibri" w:cs="Calibri" w:eastAsia="Calibri" w:hAnsi="Calibri"/>
          <w:color w:val="17203A"/>
          <w:sz w:val="22"/>
          <w:szCs w:val="22"/>
        </w:rPr>
        <w:t xml:space="preserve"> is the credential hash. This is the identifier printed inside the QR and used everywhere else.</w:t>
      </w:r>
    </w:p>
    <w:p>
      <w:pPr>
        <w:pStyle w:val="ListParagraph"/>
        <w:numPr>
          <w:ilvl w:val="0"/>
          <w:numId w:val="2"/>
        </w:numPr>
        <w:spacing w:after="90" w:line="290"/>
      </w:pPr>
      <w:r>
        <w:rPr>
          <w:rFonts w:ascii="Calibri" w:cs="Calibri" w:eastAsia="Calibri" w:hAnsi="Calibri"/>
          <w:b/>
          <w:bCs/>
          <w:color w:val="17203A"/>
          <w:sz w:val="22"/>
          <w:szCs w:val="22"/>
        </w:rPr>
        <w:t xml:space="preserve">Encrypt and pin.</w:t>
      </w:r>
      <w:r>
        <w:rPr>
          <w:rFonts w:ascii="Calibri" w:cs="Calibri" w:eastAsia="Calibri" w:hAnsi="Calibri"/>
          <w:color w:val="17203A"/>
          <w:sz w:val="22"/>
          <w:szCs w:val="22"/>
        </w:rPr>
        <w:t xml:space="preserve"> The signed VC is AES-256-GCM encrypted with the server key (random 12-byte IV per credential) and uploaded to Pinata as JSON. Pinata returns the CID; </w:t>
      </w:r>
      <w:r>
        <w:rPr>
          <w:rFonts w:ascii="Consolas" w:cs="Consolas" w:eastAsia="Consolas" w:hAnsi="Consolas"/>
          <w:color w:val="17203A"/>
          <w:sz w:val="20"/>
          <w:szCs w:val="20"/>
          <w:shd w:fill="EEF1F7" w:val="clear"/>
        </w:rPr>
        <w:t xml:space="preserve">keccak256(CID)</w:t>
      </w:r>
      <w:r>
        <w:rPr>
          <w:rFonts w:ascii="Calibri" w:cs="Calibri" w:eastAsia="Calibri" w:hAnsi="Calibri"/>
          <w:color w:val="17203A"/>
          <w:sz w:val="22"/>
          <w:szCs w:val="22"/>
        </w:rPr>
        <w:t xml:space="preserve"> becomes the second on-chain value.</w:t>
      </w:r>
    </w:p>
    <w:p>
      <w:pPr>
        <w:pStyle w:val="ListParagraph"/>
        <w:numPr>
          <w:ilvl w:val="0"/>
          <w:numId w:val="2"/>
        </w:numPr>
        <w:spacing w:after="90" w:line="290"/>
      </w:pPr>
      <w:r>
        <w:rPr>
          <w:rFonts w:ascii="Calibri" w:cs="Calibri" w:eastAsia="Calibri" w:hAnsi="Calibri"/>
          <w:b/>
          <w:bCs/>
          <w:color w:val="17203A"/>
          <w:sz w:val="22"/>
          <w:szCs w:val="22"/>
        </w:rPr>
        <w:t xml:space="preserve">Anchor.</w:t>
      </w:r>
      <w:r>
        <w:rPr>
          <w:rFonts w:ascii="Calibri" w:cs="Calibri" w:eastAsia="Calibri" w:hAnsi="Calibri"/>
          <w:color w:val="17203A"/>
          <w:sz w:val="22"/>
          <w:szCs w:val="22"/>
        </w:rPr>
        <w:t xml:space="preserve"> Server mode: the API signs </w:t>
      </w:r>
      <w:r>
        <w:rPr>
          <w:rFonts w:ascii="Consolas" w:cs="Consolas" w:eastAsia="Consolas" w:hAnsi="Consolas"/>
          <w:color w:val="17203A"/>
          <w:sz w:val="20"/>
          <w:szCs w:val="20"/>
          <w:shd w:fill="EEF1F7" w:val="clear"/>
        </w:rPr>
        <w:t xml:space="preserve">issueCredential(hash, cidHash)</w:t>
      </w:r>
      <w:r>
        <w:rPr>
          <w:rFonts w:ascii="Calibri" w:cs="Calibri" w:eastAsia="Calibri" w:hAnsi="Calibri"/>
          <w:color w:val="17203A"/>
          <w:sz w:val="22"/>
          <w:szCs w:val="22"/>
        </w:rPr>
        <w:t xml:space="preserve"> with the issuer wallet and waits for the receipt. MetaMask mode: </w:t>
      </w:r>
      <w:r>
        <w:rPr>
          <w:rFonts w:ascii="Consolas" w:cs="Consolas" w:eastAsia="Consolas" w:hAnsi="Consolas"/>
          <w:color w:val="17203A"/>
          <w:sz w:val="20"/>
          <w:szCs w:val="20"/>
          <w:shd w:fill="EEF1F7" w:val="clear"/>
        </w:rPr>
        <w:t xml:space="preserve">POST /prepare</w:t>
      </w:r>
      <w:r>
        <w:rPr>
          <w:rFonts w:ascii="Calibri" w:cs="Calibri" w:eastAsia="Calibri" w:hAnsi="Calibri"/>
          <w:color w:val="17203A"/>
          <w:sz w:val="22"/>
          <w:szCs w:val="22"/>
        </w:rPr>
        <w:t xml:space="preserve"> returns hash, cidHash and the contract address; the browser sends the transaction; </w:t>
      </w:r>
      <w:r>
        <w:rPr>
          <w:rFonts w:ascii="Consolas" w:cs="Consolas" w:eastAsia="Consolas" w:hAnsi="Consolas"/>
          <w:color w:val="17203A"/>
          <w:sz w:val="20"/>
          <w:szCs w:val="20"/>
          <w:shd w:fill="EEF1F7" w:val="clear"/>
        </w:rPr>
        <w:t xml:space="preserve">POST /finalize</w:t>
      </w:r>
      <w:r>
        <w:rPr>
          <w:rFonts w:ascii="Calibri" w:cs="Calibri" w:eastAsia="Calibri" w:hAnsi="Calibri"/>
          <w:color w:val="17203A"/>
          <w:sz w:val="22"/>
          <w:szCs w:val="22"/>
        </w:rPr>
        <w:t xml:space="preserve"> re-reads the chain and only activates the record when </w:t>
      </w:r>
      <w:r>
        <w:rPr>
          <w:rFonts w:ascii="Consolas" w:cs="Consolas" w:eastAsia="Consolas" w:hAnsi="Consolas"/>
          <w:color w:val="17203A"/>
          <w:sz w:val="20"/>
          <w:szCs w:val="20"/>
          <w:shd w:fill="EEF1F7" w:val="clear"/>
        </w:rPr>
        <w:t xml:space="preserve">verifyCredential</w:t>
      </w:r>
      <w:r>
        <w:rPr>
          <w:rFonts w:ascii="Calibri" w:cs="Calibri" w:eastAsia="Calibri" w:hAnsi="Calibri"/>
          <w:color w:val="17203A"/>
          <w:sz w:val="22"/>
          <w:szCs w:val="22"/>
        </w:rPr>
        <w:t xml:space="preserve"> already answers VERIFIED.</w:t>
      </w:r>
    </w:p>
    <w:p>
      <w:pPr>
        <w:pStyle w:val="ListParagraph"/>
        <w:numPr>
          <w:ilvl w:val="0"/>
          <w:numId w:val="2"/>
        </w:numPr>
        <w:spacing w:after="90" w:line="290"/>
      </w:pPr>
      <w:r>
        <w:rPr>
          <w:rFonts w:ascii="Calibri" w:cs="Calibri" w:eastAsia="Calibri" w:hAnsi="Calibri"/>
          <w:b/>
          <w:bCs/>
          <w:color w:val="17203A"/>
          <w:sz w:val="22"/>
          <w:szCs w:val="22"/>
        </w:rPr>
        <w:t xml:space="preserve">Index and deliver.</w:t>
      </w:r>
      <w:r>
        <w:rPr>
          <w:rFonts w:ascii="Calibri" w:cs="Calibri" w:eastAsia="Calibri" w:hAnsi="Calibri"/>
          <w:color w:val="17203A"/>
          <w:sz w:val="22"/>
          <w:szCs w:val="22"/>
        </w:rPr>
        <w:t xml:space="preserve"> The MongoDB row is written with status </w:t>
      </w:r>
      <w:r>
        <w:rPr>
          <w:rFonts w:ascii="Consolas" w:cs="Consolas" w:eastAsia="Consolas" w:hAnsi="Consolas"/>
          <w:color w:val="17203A"/>
          <w:sz w:val="20"/>
          <w:szCs w:val="20"/>
          <w:shd w:fill="EEF1F7" w:val="clear"/>
        </w:rPr>
        <w:t xml:space="preserve">active</w:t>
      </w:r>
      <w:r>
        <w:rPr>
          <w:rFonts w:ascii="Calibri" w:cs="Calibri" w:eastAsia="Calibri" w:hAnsi="Calibri"/>
          <w:color w:val="17203A"/>
          <w:sz w:val="22"/>
          <w:szCs w:val="22"/>
        </w:rPr>
        <w:t xml:space="preserve"> (or </w:t>
      </w:r>
      <w:r>
        <w:rPr>
          <w:rFonts w:ascii="Consolas" w:cs="Consolas" w:eastAsia="Consolas" w:hAnsi="Consolas"/>
          <w:color w:val="17203A"/>
          <w:sz w:val="20"/>
          <w:szCs w:val="20"/>
          <w:shd w:fill="EEF1F7" w:val="clear"/>
        </w:rPr>
        <w:t xml:space="preserve">pending</w:t>
      </w:r>
      <w:r>
        <w:rPr>
          <w:rFonts w:ascii="Calibri" w:cs="Calibri" w:eastAsia="Calibri" w:hAnsi="Calibri"/>
          <w:color w:val="17203A"/>
          <w:sz w:val="22"/>
          <w:szCs w:val="22"/>
        </w:rPr>
        <w:t xml:space="preserve"> until MetaMask finalises), the transaction hash, and the signed QR payload. The graduate can download a PDF with that QR from their portal.</w:t>
      </w:r>
    </w:p>
    <w:p>
      <w:pPr>
        <w:pStyle w:val="Heading2"/>
        <w:spacing w:after="100" w:before="260"/>
      </w:pPr>
      <w:r>
        <w:rPr>
          <w:rFonts w:ascii="Calibri" w:cs="Calibri" w:eastAsia="Calibri" w:hAnsi="Calibri"/>
          <w:b/>
          <w:bCs/>
          <w:color w:val="17203A"/>
          <w:sz w:val="25"/>
          <w:szCs w:val="25"/>
        </w:rPr>
        <w:t xml:space="preserve">The signed QR</w:t>
      </w:r>
    </w:p>
    <w:p>
      <w:pPr>
        <w:spacing w:after="140" w:line="300"/>
      </w:pPr>
      <w:r>
        <w:rPr>
          <w:rFonts w:ascii="Calibri" w:cs="Calibri" w:eastAsia="Calibri" w:hAnsi="Calibri"/>
          <w:color w:val="17203A"/>
          <w:sz w:val="22"/>
          <w:szCs w:val="22"/>
        </w:rPr>
        <w:t xml:space="preserve">The QR is the offline credential. It carries six fields and a signature over five of them (</w:t>
      </w:r>
      <w:r>
        <w:rPr>
          <w:rFonts w:ascii="Consolas" w:cs="Consolas" w:eastAsia="Consolas" w:hAnsi="Consolas"/>
          <w:color w:val="17203A"/>
          <w:sz w:val="20"/>
          <w:szCs w:val="20"/>
          <w:shd w:fill="EEF1F7" w:val="clear"/>
        </w:rPr>
        <w:t xml:space="preserve">cred_did|cid|hash8|iss_pk_ref|iat</w:t>
      </w:r>
      <w:r>
        <w:rPr>
          <w:rFonts w:ascii="Calibri" w:cs="Calibri" w:eastAsia="Calibri" w:hAnsi="Calibri"/>
          <w:color w:val="17203A"/>
          <w:sz w:val="22"/>
          <w:szCs w:val="22"/>
        </w:rPr>
        <w:t xml:space="preserve">), plus the full credential hash for the online path. A verifier who has cached issuer public keys can check the signature with no network at all.</w:t>
      </w:r>
    </w:p>
    <w:p>
      <w:pPr>
        <w:shd w:fill="EEF1F7" w:val="clear"/>
        <w:spacing w:after="200" w:line="260"/>
        <w:ind w:left="120" w:right="120"/>
      </w:pPr>
      <w:r>
        <w:rPr>
          <w:rFonts w:ascii="Consolas" w:cs="Consolas" w:eastAsia="Consolas" w:hAnsi="Consolas"/>
          <w:color w:val="17203A"/>
          <w:sz w:val="18"/>
          <w:szCs w:val="18"/>
        </w:rPr>
        <w:t xml:space="preserve">{ "cred_did": "did:ethr:0x9A…", "cid": "bafkrei…", "hash8": "3f9c1b7e2a04d6c8",
  "iss_pk_ref": "did:ethr:0x5B…#keys-1", "iat": 1757900000,
  "sig": "0x3045…", "hash": "0x3f9c1b7e2a04d6c8…" }</w:t>
      </w:r>
    </w:p>
    <w:p>
      <w:pPr>
        <w:pStyle w:val="Heading1"/>
        <w:spacing w:after="160" w:before="420"/>
      </w:pPr>
      <w:r>
        <w:rPr>
          <w:rFonts w:ascii="Calibri" w:cs="Calibri" w:eastAsia="Calibri" w:hAnsi="Calibri"/>
          <w:b/>
          <w:bCs/>
          <w:color w:val="12275C"/>
          <w:sz w:val="32"/>
          <w:szCs w:val="32"/>
        </w:rPr>
        <w:t xml:space="preserve">4. The on-chain record, field by field</w:t>
      </w:r>
    </w:p>
    <w:p>
      <w:pPr>
        <w:spacing w:after="140" w:line="300"/>
      </w:pPr>
      <w:r>
        <w:rPr>
          <w:rFonts w:ascii="Calibri" w:cs="Calibri" w:eastAsia="Calibri" w:hAnsi="Calibri"/>
          <w:color w:val="17203A"/>
          <w:sz w:val="22"/>
          <w:szCs w:val="22"/>
        </w:rPr>
        <w:t xml:space="preserve">Each anchored credential occupies three storage slots in </w:t>
      </w:r>
      <w:r>
        <w:rPr>
          <w:rFonts w:ascii="Consolas" w:cs="Consolas" w:eastAsia="Consolas" w:hAnsi="Consolas"/>
          <w:color w:val="17203A"/>
          <w:sz w:val="20"/>
          <w:szCs w:val="20"/>
          <w:shd w:fill="EEF1F7" w:val="clear"/>
        </w:rPr>
        <w:t xml:space="preserve">CredentialRegistry</w:t>
      </w:r>
      <w:r>
        <w:rPr>
          <w:rFonts w:ascii="Calibri" w:cs="Calibri" w:eastAsia="Calibri" w:hAnsi="Calibri"/>
          <w:color w:val="17203A"/>
          <w:sz w:val="22"/>
          <w:szCs w:val="22"/>
        </w:rPr>
        <w:t xml:space="preserve">, keyed by the credential hash. Nothing in it identifies the graduate.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1080"/>
        <w:gridCol w:w="1800"/>
        <w:gridCol w:w="4680"/>
      </w:tblGrid>
      <w:tr>
        <w:trPr>
          <w:tblHeader/>
        </w:trPr>
        <w:tc>
          <w:tcPr>
            <w:tcW w:type="auto" w:w="0"/>
            <w:tcBorders>
              <w:top w:val="single" w:color="D7DCE8" w:sz="4"/>
              <w:left w:val="single" w:color="D7DCE8" w:sz="4"/>
              <w:bottom w:val="single" w:color="D7DCE8" w:sz="4"/>
              <w:right w:val="single" w:color="D7DCE8" w:sz="4"/>
            </w:tcBorders>
            <w:shd w:fill="F4F6FA" w:val="clear"/>
            <w:tcMar>
              <w:top w:type="dxa" w:w="70"/>
              <w:left w:type="dxa" w:w="110"/>
              <w:bottom w:type="dxa" w:w="70"/>
              <w:right w:type="dxa" w:w="110"/>
            </w:tcMar>
          </w:tcPr>
          <w:p>
            <w:pPr>
              <w:spacing w:after="0" w:line="270"/>
            </w:pPr>
            <w:r>
              <w:rPr>
                <w:rFonts w:ascii="Calibri" w:cs="Calibri" w:eastAsia="Calibri" w:hAnsi="Calibri"/>
                <w:b/>
                <w:bCs/>
                <w:color w:val="5A6480"/>
                <w:sz w:val="19"/>
                <w:szCs w:val="19"/>
              </w:rPr>
              <w:t xml:space="preserve">Field</w:t>
            </w:r>
          </w:p>
        </w:tc>
        <w:tc>
          <w:tcPr>
            <w:tcW w:type="auto" w:w="0"/>
            <w:tcBorders>
              <w:top w:val="single" w:color="D7DCE8" w:sz="4"/>
              <w:left w:val="single" w:color="D7DCE8" w:sz="4"/>
              <w:bottom w:val="single" w:color="D7DCE8" w:sz="4"/>
              <w:right w:val="single" w:color="D7DCE8" w:sz="4"/>
            </w:tcBorders>
            <w:shd w:fill="F4F6FA" w:val="clear"/>
            <w:tcMar>
              <w:top w:type="dxa" w:w="70"/>
              <w:left w:type="dxa" w:w="110"/>
              <w:bottom w:type="dxa" w:w="70"/>
              <w:right w:type="dxa" w:w="110"/>
            </w:tcMar>
          </w:tcPr>
          <w:p>
            <w:pPr>
              <w:spacing w:after="0" w:line="270"/>
            </w:pPr>
            <w:r>
              <w:rPr>
                <w:rFonts w:ascii="Calibri" w:cs="Calibri" w:eastAsia="Calibri" w:hAnsi="Calibri"/>
                <w:b/>
                <w:bCs/>
                <w:color w:val="5A6480"/>
                <w:sz w:val="19"/>
                <w:szCs w:val="19"/>
              </w:rPr>
              <w:t xml:space="preserve">Type</w:t>
            </w:r>
          </w:p>
        </w:tc>
        <w:tc>
          <w:tcPr>
            <w:tcW w:type="auto" w:w="0"/>
            <w:tcBorders>
              <w:top w:val="single" w:color="D7DCE8" w:sz="4"/>
              <w:left w:val="single" w:color="D7DCE8" w:sz="4"/>
              <w:bottom w:val="single" w:color="D7DCE8" w:sz="4"/>
              <w:right w:val="single" w:color="D7DCE8" w:sz="4"/>
            </w:tcBorders>
            <w:shd w:fill="F4F6FA" w:val="clear"/>
            <w:tcMar>
              <w:top w:type="dxa" w:w="70"/>
              <w:left w:type="dxa" w:w="110"/>
              <w:bottom w:type="dxa" w:w="70"/>
              <w:right w:type="dxa" w:w="110"/>
            </w:tcMar>
          </w:tcPr>
          <w:p>
            <w:pPr>
              <w:spacing w:after="0" w:line="270"/>
            </w:pPr>
            <w:r>
              <w:rPr>
                <w:rFonts w:ascii="Calibri" w:cs="Calibri" w:eastAsia="Calibri" w:hAnsi="Calibri"/>
                <w:b/>
                <w:bCs/>
                <w:color w:val="5A6480"/>
                <w:sz w:val="19"/>
                <w:szCs w:val="19"/>
              </w:rPr>
              <w:t xml:space="preserve">Set by</w:t>
            </w:r>
          </w:p>
        </w:tc>
        <w:tc>
          <w:tcPr>
            <w:tcW w:type="auto" w:w="0"/>
            <w:tcBorders>
              <w:top w:val="single" w:color="D7DCE8" w:sz="4"/>
              <w:left w:val="single" w:color="D7DCE8" w:sz="4"/>
              <w:bottom w:val="single" w:color="D7DCE8" w:sz="4"/>
              <w:right w:val="single" w:color="D7DCE8" w:sz="4"/>
            </w:tcBorders>
            <w:shd w:fill="F4F6FA" w:val="clear"/>
            <w:tcMar>
              <w:top w:type="dxa" w:w="70"/>
              <w:left w:type="dxa" w:w="110"/>
              <w:bottom w:type="dxa" w:w="70"/>
              <w:right w:type="dxa" w:w="110"/>
            </w:tcMar>
          </w:tcPr>
          <w:p>
            <w:pPr>
              <w:spacing w:after="0" w:line="270"/>
            </w:pPr>
            <w:r>
              <w:rPr>
                <w:rFonts w:ascii="Calibri" w:cs="Calibri" w:eastAsia="Calibri" w:hAnsi="Calibri"/>
                <w:b/>
                <w:bCs/>
                <w:color w:val="5A6480"/>
                <w:sz w:val="19"/>
                <w:szCs w:val="19"/>
              </w:rPr>
              <w:t xml:space="preserve">Meaning</w:t>
            </w:r>
          </w:p>
        </w:tc>
      </w:tr>
      <w:tr>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onsolas" w:cs="Consolas" w:eastAsia="Consolas" w:hAnsi="Consolas"/>
                <w:color w:val="17203A"/>
                <w:sz w:val="20"/>
                <w:szCs w:val="20"/>
                <w:shd w:fill="EEF1F7" w:val="clear"/>
              </w:rPr>
              <w:t xml:space="preserve">issuer</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address</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onsolas" w:cs="Consolas" w:eastAsia="Consolas" w:hAnsi="Consolas"/>
                <w:color w:val="17203A"/>
                <w:sz w:val="20"/>
                <w:szCs w:val="20"/>
                <w:shd w:fill="EEF1F7" w:val="clear"/>
              </w:rPr>
              <w:t xml:space="preserve">msg.sender</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Wallet that anchored the credential. Must hold ISSUER_ROLE at that moment.</w:t>
            </w:r>
          </w:p>
        </w:tc>
      </w:tr>
      <w:tr>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onsolas" w:cs="Consolas" w:eastAsia="Consolas" w:hAnsi="Consolas"/>
                <w:color w:val="17203A"/>
                <w:sz w:val="20"/>
                <w:szCs w:val="20"/>
                <w:shd w:fill="EEF1F7" w:val="clear"/>
              </w:rPr>
              <w:t xml:space="preserve">issuedAt</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uint64</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onsolas" w:cs="Consolas" w:eastAsia="Consolas" w:hAnsi="Consolas"/>
                <w:color w:val="17203A"/>
                <w:sz w:val="20"/>
                <w:szCs w:val="20"/>
                <w:shd w:fill="EEF1F7" w:val="clear"/>
              </w:rPr>
              <w:t xml:space="preserve">block.timestamp</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Anchoring time. Shown on verification as "Issued".</w:t>
            </w:r>
          </w:p>
        </w:tc>
      </w:tr>
      <w:tr>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onsolas" w:cs="Consolas" w:eastAsia="Consolas" w:hAnsi="Consolas"/>
                <w:color w:val="17203A"/>
                <w:sz w:val="20"/>
                <w:szCs w:val="20"/>
                <w:shd w:fill="EEF1F7" w:val="clear"/>
              </w:rPr>
              <w:t xml:space="preserve">cidHash</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bytes32</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API</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keccak256 of the IPFS CID of the encrypted VC.</w:t>
            </w:r>
          </w:p>
        </w:tc>
      </w:tr>
      <w:tr>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onsolas" w:cs="Consolas" w:eastAsia="Consolas" w:hAnsi="Consolas"/>
                <w:color w:val="17203A"/>
                <w:sz w:val="20"/>
                <w:szCs w:val="20"/>
                <w:shd w:fill="EEF1F7" w:val="clear"/>
              </w:rPr>
              <w:t xml:space="preserve">issuerDID</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bytes32</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IssuerRegistry</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Copied from the registry at issue time, so a later change of DID cannot rewrite history.</w:t>
            </w:r>
          </w:p>
        </w:tc>
      </w:tr>
    </w:tbl>
    <w:p>
      <w:pPr>
        <w:spacing w:after="120"/>
      </w:pPr>
    </w:p>
    <w:p>
      <w:pPr>
        <w:spacing w:after="140" w:line="300"/>
      </w:pPr>
      <w:r>
        <w:rPr>
          <w:rFonts w:ascii="Calibri" w:cs="Calibri" w:eastAsia="Calibri" w:hAnsi="Calibri"/>
          <w:color w:val="17203A"/>
          <w:sz w:val="22"/>
          <w:szCs w:val="22"/>
        </w:rPr>
        <w:t xml:space="preserve">The contract refuses a hash that is already present, so a credential can only be anchored once. Revocation lives in a separate </w:t>
      </w:r>
      <w:r>
        <w:rPr>
          <w:rFonts w:ascii="Consolas" w:cs="Consolas" w:eastAsia="Consolas" w:hAnsi="Consolas"/>
          <w:color w:val="17203A"/>
          <w:sz w:val="20"/>
          <w:szCs w:val="20"/>
          <w:shd w:fill="EEF1F7" w:val="clear"/>
        </w:rPr>
        <w:t xml:space="preserve">RevocationRegistry</w:t>
      </w:r>
      <w:r>
        <w:rPr>
          <w:rFonts w:ascii="Calibri" w:cs="Calibri" w:eastAsia="Calibri" w:hAnsi="Calibri"/>
          <w:color w:val="17203A"/>
          <w:sz w:val="22"/>
          <w:szCs w:val="22"/>
        </w:rPr>
        <w:t xml:space="preserve"> row: reason code 1 to 5, timestamp, revoking address, and optionally the hash of a corrected replacement. </w:t>
      </w:r>
      <w:r>
        <w:rPr>
          <w:rFonts w:ascii="Consolas" w:cs="Consolas" w:eastAsia="Consolas" w:hAnsi="Consolas"/>
          <w:color w:val="17203A"/>
          <w:sz w:val="20"/>
          <w:szCs w:val="20"/>
          <w:shd w:fill="EEF1F7" w:val="clear"/>
        </w:rPr>
        <w:t xml:space="preserve">verifyCredential</w:t>
      </w:r>
      <w:r>
        <w:rPr>
          <w:rFonts w:ascii="Calibri" w:cs="Calibri" w:eastAsia="Calibri" w:hAnsi="Calibri"/>
          <w:color w:val="17203A"/>
          <w:sz w:val="22"/>
          <w:szCs w:val="22"/>
        </w:rPr>
        <w:t xml:space="preserve"> is a </w:t>
      </w:r>
      <w:r>
        <w:rPr>
          <w:rFonts w:ascii="Consolas" w:cs="Consolas" w:eastAsia="Consolas" w:hAnsi="Consolas"/>
          <w:color w:val="17203A"/>
          <w:sz w:val="20"/>
          <w:szCs w:val="20"/>
          <w:shd w:fill="EEF1F7" w:val="clear"/>
        </w:rPr>
        <w:t xml:space="preserve">view</w:t>
      </w:r>
      <w:r>
        <w:rPr>
          <w:rFonts w:ascii="Calibri" w:cs="Calibri" w:eastAsia="Calibri" w:hAnsi="Calibri"/>
          <w:color w:val="17203A"/>
          <w:sz w:val="22"/>
          <w:szCs w:val="22"/>
        </w:rPr>
        <w:t xml:space="preserve"> function that combines both registries plus the issuer's current authorisation into one of four answers.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auto" w:w="0"/>
            <w:tcBorders>
              <w:top w:val="single" w:color="D7DCE8" w:sz="4"/>
              <w:left w:val="single" w:color="D7DCE8" w:sz="4"/>
              <w:bottom w:val="single" w:color="D7DCE8" w:sz="4"/>
              <w:right w:val="single" w:color="D7DCE8" w:sz="4"/>
            </w:tcBorders>
            <w:shd w:fill="F4F6FA" w:val="clear"/>
            <w:tcMar>
              <w:top w:type="dxa" w:w="70"/>
              <w:left w:type="dxa" w:w="110"/>
              <w:bottom w:type="dxa" w:w="70"/>
              <w:right w:type="dxa" w:w="110"/>
            </w:tcMar>
          </w:tcPr>
          <w:p>
            <w:pPr>
              <w:spacing w:after="0" w:line="270"/>
            </w:pPr>
            <w:r>
              <w:rPr>
                <w:rFonts w:ascii="Calibri" w:cs="Calibri" w:eastAsia="Calibri" w:hAnsi="Calibri"/>
                <w:b/>
                <w:bCs/>
                <w:color w:val="5A6480"/>
                <w:sz w:val="19"/>
                <w:szCs w:val="19"/>
              </w:rPr>
              <w:t xml:space="preserve">Contract</w:t>
            </w:r>
          </w:p>
        </w:tc>
        <w:tc>
          <w:tcPr>
            <w:tcW w:type="auto" w:w="0"/>
            <w:tcBorders>
              <w:top w:val="single" w:color="D7DCE8" w:sz="4"/>
              <w:left w:val="single" w:color="D7DCE8" w:sz="4"/>
              <w:bottom w:val="single" w:color="D7DCE8" w:sz="4"/>
              <w:right w:val="single" w:color="D7DCE8" w:sz="4"/>
            </w:tcBorders>
            <w:shd w:fill="F4F6FA" w:val="clear"/>
            <w:tcMar>
              <w:top w:type="dxa" w:w="70"/>
              <w:left w:type="dxa" w:w="110"/>
              <w:bottom w:type="dxa" w:w="70"/>
              <w:right w:type="dxa" w:w="110"/>
            </w:tcMar>
          </w:tcPr>
          <w:p>
            <w:pPr>
              <w:spacing w:after="0" w:line="270"/>
            </w:pPr>
            <w:r>
              <w:rPr>
                <w:rFonts w:ascii="Calibri" w:cs="Calibri" w:eastAsia="Calibri" w:hAnsi="Calibri"/>
                <w:b/>
                <w:bCs/>
                <w:color w:val="5A6480"/>
                <w:sz w:val="19"/>
                <w:szCs w:val="19"/>
              </w:rPr>
              <w:t xml:space="preserve">Sepolia address</w:t>
            </w:r>
          </w:p>
        </w:tc>
        <w:tc>
          <w:tcPr>
            <w:tcW w:type="auto" w:w="0"/>
            <w:tcBorders>
              <w:top w:val="single" w:color="D7DCE8" w:sz="4"/>
              <w:left w:val="single" w:color="D7DCE8" w:sz="4"/>
              <w:bottom w:val="single" w:color="D7DCE8" w:sz="4"/>
              <w:right w:val="single" w:color="D7DCE8" w:sz="4"/>
            </w:tcBorders>
            <w:shd w:fill="F4F6FA" w:val="clear"/>
            <w:tcMar>
              <w:top w:type="dxa" w:w="70"/>
              <w:left w:type="dxa" w:w="110"/>
              <w:bottom w:type="dxa" w:w="70"/>
              <w:right w:type="dxa" w:w="110"/>
            </w:tcMar>
          </w:tcPr>
          <w:p>
            <w:pPr>
              <w:spacing w:after="0" w:line="270"/>
            </w:pPr>
            <w:r>
              <w:rPr>
                <w:rFonts w:ascii="Calibri" w:cs="Calibri" w:eastAsia="Calibri" w:hAnsi="Calibri"/>
                <w:b/>
                <w:bCs/>
                <w:color w:val="5A6480"/>
                <w:sz w:val="19"/>
                <w:szCs w:val="19"/>
              </w:rPr>
              <w:t xml:space="preserve">Writes happen when</w:t>
            </w:r>
          </w:p>
        </w:tc>
      </w:tr>
      <w:tr>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GovernanceSafe</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onsolas" w:cs="Consolas" w:eastAsia="Consolas" w:hAnsi="Consolas"/>
                <w:color w:val="17203A"/>
                <w:sz w:val="20"/>
                <w:szCs w:val="20"/>
                <w:shd w:fill="EEF1F7" w:val="clear"/>
              </w:rPr>
              <w:t xml:space="preserve">0x39aea70a718B5a77710aE0a40B4d79fcE18Ef990</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A regulator approves an institution (propose, confirm, auto-execute)</w:t>
            </w:r>
          </w:p>
        </w:tc>
      </w:tr>
      <w:tr>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IssuerRegistry</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onsolas" w:cs="Consolas" w:eastAsia="Consolas" w:hAnsi="Consolas"/>
                <w:color w:val="17203A"/>
                <w:sz w:val="20"/>
                <w:szCs w:val="20"/>
                <w:shd w:fill="EEF1F7" w:val="clear"/>
              </w:rPr>
              <w:t xml:space="preserve">0x99B41d97B29E85831591a2fb0f5ce5132BFb73ED</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Executed by the Safe: grant or revoke ISSUER_ROLE</w:t>
            </w:r>
          </w:p>
        </w:tc>
      </w:tr>
      <w:tr>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CredentialRegistry</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onsolas" w:cs="Consolas" w:eastAsia="Consolas" w:hAnsi="Consolas"/>
                <w:color w:val="17203A"/>
                <w:sz w:val="20"/>
                <w:szCs w:val="20"/>
                <w:shd w:fill="EEF1F7" w:val="clear"/>
              </w:rPr>
              <w:t xml:space="preserve">0x785c52048cf543fd7907986BB77170345059B8D2</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Every issuance and every corrected reissue</w:t>
            </w:r>
          </w:p>
        </w:tc>
      </w:tr>
      <w:tr>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RevocationRegistry</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onsolas" w:cs="Consolas" w:eastAsia="Consolas" w:hAnsi="Consolas"/>
                <w:color w:val="17203A"/>
                <w:sz w:val="20"/>
                <w:szCs w:val="20"/>
                <w:shd w:fill="EEF1F7" w:val="clear"/>
              </w:rPr>
              <w:t xml:space="preserve">0xB23E0922Bd655FbC4CE17d1236120e5685918263</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Institution or ZAQA revokes; supersession sets reason 1 and links the new hash</w:t>
            </w:r>
          </w:p>
        </w:tc>
      </w:tr>
    </w:tbl>
    <w:p>
      <w:pPr>
        <w:spacing w:after="120"/>
      </w:pPr>
    </w:p>
    <w:p>
      <w:pPr>
        <w:spacing w:after="140" w:line="300"/>
      </w:pPr>
      <w:r>
        <w:rPr>
          <w:rFonts w:ascii="Calibri" w:cs="Calibri" w:eastAsia="Calibri" w:hAnsi="Calibri"/>
          <w:color w:val="17203A"/>
          <w:sz w:val="22"/>
          <w:szCs w:val="22"/>
        </w:rPr>
        <w:t xml:space="preserve">Approximate cost on Sepolia today: about 0.01 test ETH per institution registration and about 0.002 per anchor. The ZAQA funder wallet tops up new issuer wallets automatically so institutions never handle gas.</w:t>
      </w:r>
    </w:p>
    <w:p>
      <w:pPr>
        <w:pStyle w:val="Heading1"/>
        <w:spacing w:after="160" w:before="420"/>
      </w:pPr>
      <w:r>
        <w:rPr>
          <w:rFonts w:ascii="Calibri" w:cs="Calibri" w:eastAsia="Calibri" w:hAnsi="Calibri"/>
          <w:b/>
          <w:bCs/>
          <w:color w:val="12275C"/>
          <w:sz w:val="32"/>
          <w:szCs w:val="32"/>
        </w:rPr>
        <w:t xml:space="preserve">5. Validation and lifecycle: what is on-chain and what is not</w:t>
      </w:r>
    </w:p>
    <w:p>
      <w:pPr>
        <w:spacing w:after="140" w:line="300"/>
      </w:pPr>
      <w:r>
        <w:rPr>
          <w:rFonts w:ascii="Calibri" w:cs="Calibri" w:eastAsia="Calibri" w:hAnsi="Calibri"/>
          <w:color w:val="17203A"/>
          <w:sz w:val="22"/>
          <w:szCs w:val="22"/>
        </w:rPr>
        <w:t xml:space="preserve">The chain answers one question: is this exact document genuine and not revoked. Everything about national recognition is a ZAQA decision recorded off-chain, and the verify response folds both together.</w:t>
      </w:r>
    </w:p>
    <w:p>
      <w:pPr>
        <w:keepNext/>
        <w:spacing w:after="60" w:before="160"/>
        <w:jc w:val="center"/>
      </w:pPr>
      <w:r>
        <w:drawing>
          <wp:inline distT="0" distB="0" distL="0" distR="0">
            <wp:extent cx="5762625"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1924050"/>
                    </a:xfrm>
                    <a:prstGeom prst="rect">
                      <a:avLst/>
                    </a:prstGeom>
                  </pic:spPr>
                </pic:pic>
              </a:graphicData>
            </a:graphic>
          </wp:inline>
        </w:drawing>
      </w:r>
    </w:p>
    <w:p>
      <w:pPr>
        <w:spacing w:after="220" w:line="270"/>
        <w:jc w:val="left"/>
      </w:pPr>
      <w:r>
        <w:rPr>
          <w:rFonts w:ascii="Calibri" w:cs="Calibri" w:eastAsia="Calibri" w:hAnsi="Calibri"/>
          <w:i/>
          <w:iCs/>
          <w:color w:val="5A6480"/>
          <w:sz w:val="19"/>
          <w:szCs w:val="19"/>
        </w:rPr>
        <w:t xml:space="preserve">Figure 4. Two tracks, one answer. The verify response reports the on-chain status first (REVOKED, NOT_FOUND and UNKNOWN_ISSUER always win), then the ZAQA state: validated shows as Verified, pending as "Awaiting ZAQA validation", and so on. Suspension is purely off-chain: the anchor stays VERIFIED but the certificate download is blocked.</w:t>
      </w:r>
    </w:p>
    <w:p>
      <w:pPr>
        <w:spacing w:after="140" w:line="300"/>
      </w:pPr>
      <w:r>
        <w:rPr>
          <w:rFonts w:ascii="Calibri" w:cs="Calibri" w:eastAsia="Calibri" w:hAnsi="Calibri"/>
          <w:color w:val="17203A"/>
          <w:sz w:val="22"/>
          <w:szCs w:val="22"/>
        </w:rPr>
        <w:t xml:space="preserve">A ZAQA revocation is genuinely on-chain: the officer's decision makes the API sign </w:t>
      </w:r>
      <w:r>
        <w:rPr>
          <w:rFonts w:ascii="Consolas" w:cs="Consolas" w:eastAsia="Consolas" w:hAnsi="Consolas"/>
          <w:color w:val="17203A"/>
          <w:sz w:val="20"/>
          <w:szCs w:val="20"/>
          <w:shd w:fill="EEF1F7" w:val="clear"/>
        </w:rPr>
        <w:t xml:space="preserve">RevocationRegistry.revoke</w:t>
      </w:r>
      <w:r>
        <w:rPr>
          <w:rFonts w:ascii="Calibri" w:cs="Calibri" w:eastAsia="Calibri" w:hAnsi="Calibri"/>
          <w:color w:val="17203A"/>
          <w:sz w:val="22"/>
          <w:szCs w:val="22"/>
        </w:rPr>
        <w:t xml:space="preserve"> with the custodied issuer key, so third parties see REVOKED without trusting BBACVS's database. A correction never edits the old record. The institution issues a new credential through the same pipeline, then the old hash is revoked with reason 1 (administrative error) and both index rows link to each other.</w:t>
      </w:r>
    </w:p>
    <w:p>
      <w:pPr>
        <w:pStyle w:val="Heading1"/>
        <w:spacing w:after="160" w:before="420"/>
      </w:pPr>
      <w:r>
        <w:rPr>
          <w:rFonts w:ascii="Calibri" w:cs="Calibri" w:eastAsia="Calibri" w:hAnsi="Calibri"/>
          <w:b/>
          <w:bCs/>
          <w:color w:val="12275C"/>
          <w:sz w:val="32"/>
          <w:szCs w:val="32"/>
        </w:rPr>
        <w:t xml:space="preserve">6. Verifying: online and offline</w:t>
      </w:r>
    </w:p>
    <w:p>
      <w:pPr>
        <w:keepNext/>
        <w:spacing w:after="60" w:before="160"/>
        <w:jc w:val="center"/>
      </w:pPr>
      <w:r>
        <w:drawing>
          <wp:inline distT="0" distB="0" distL="0" distR="0">
            <wp:extent cx="5762625"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1800225"/>
                    </a:xfrm>
                    <a:prstGeom prst="rect">
                      <a:avLst/>
                    </a:prstGeom>
                  </pic:spPr>
                </pic:pic>
              </a:graphicData>
            </a:graphic>
          </wp:inline>
        </w:drawing>
      </w:r>
    </w:p>
    <w:p>
      <w:pPr>
        <w:spacing w:after="220" w:line="270"/>
        <w:jc w:val="left"/>
      </w:pPr>
      <w:r>
        <w:rPr>
          <w:rFonts w:ascii="Calibri" w:cs="Calibri" w:eastAsia="Calibri" w:hAnsi="Calibri"/>
          <w:i/>
          <w:iCs/>
          <w:color w:val="5A6480"/>
          <w:sz w:val="19"/>
          <w:szCs w:val="19"/>
        </w:rPr>
        <w:t xml:space="preserve">Figure 5. The online path never trusts the index for validity. The chain call decides the headline; MongoDB only adds human-readable context and the regulator's standing. The offline path proves that an authorised institution signed this exact QR, which is what a border post or employer with no signal needs first.</w:t>
      </w:r>
    </w:p>
    <w:p>
      <w:pPr>
        <w:pStyle w:val="Heading2"/>
        <w:spacing w:after="100" w:before="260"/>
      </w:pPr>
      <w:r>
        <w:rPr>
          <w:rFonts w:ascii="Calibri" w:cs="Calibri" w:eastAsia="Calibri" w:hAnsi="Calibri"/>
          <w:b/>
          <w:bCs/>
          <w:color w:val="17203A"/>
          <w:sz w:val="25"/>
          <w:szCs w:val="25"/>
        </w:rPr>
        <w:t xml:space="preserve">The ZAQA verification certificate</w:t>
      </w:r>
    </w:p>
    <w:p>
      <w:pPr>
        <w:spacing w:after="140" w:line="300"/>
      </w:pPr>
      <w:r>
        <w:rPr>
          <w:rFonts w:ascii="Calibri" w:cs="Calibri" w:eastAsia="Calibri" w:hAnsi="Calibri"/>
          <w:color w:val="17203A"/>
          <w:sz w:val="22"/>
          <w:szCs w:val="22"/>
        </w:rPr>
        <w:t xml:space="preserve">Once a credential is on-chain VERIFIED and ZAQA-validated, anyone can download the "Certificate of Verification and Evaluation of Qualification" PDF. It prints no hash, CID or wallet address at all. A second signed QR, made with ZAQA's own key (</w:t>
      </w:r>
      <w:r>
        <w:rPr>
          <w:rFonts w:ascii="Consolas" w:cs="Consolas" w:eastAsia="Consolas" w:hAnsi="Consolas"/>
          <w:color w:val="17203A"/>
          <w:sz w:val="20"/>
          <w:szCs w:val="20"/>
          <w:shd w:fill="EEF1F7" w:val="clear"/>
        </w:rPr>
        <w:t xml:space="preserve">did:zaqa#keys-1</w:t>
      </w:r>
      <w:r>
        <w:rPr>
          <w:rFonts w:ascii="Calibri" w:cs="Calibri" w:eastAsia="Calibri" w:hAnsi="Calibri"/>
          <w:color w:val="17203A"/>
          <w:sz w:val="22"/>
          <w:szCs w:val="22"/>
        </w:rPr>
        <w:t xml:space="preserve">) over the ZAQA reference and holder DID, carries the technical data so the certificate itself can be checked the same way.</w:t>
      </w:r>
    </w:p>
    <w:p>
      <w:pPr>
        <w:pStyle w:val="Heading1"/>
        <w:spacing w:after="160" w:before="420"/>
      </w:pPr>
      <w:r>
        <w:rPr>
          <w:rFonts w:ascii="Calibri" w:cs="Calibri" w:eastAsia="Calibri" w:hAnsi="Calibri"/>
          <w:b/>
          <w:bCs/>
          <w:color w:val="12275C"/>
          <w:sz w:val="32"/>
          <w:szCs w:val="32"/>
        </w:rPr>
        <w:t xml:space="preserve">7. Where each piece of data lives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3600"/>
      </w:tblGrid>
      <w:tr>
        <w:trPr>
          <w:tblHeader/>
        </w:trPr>
        <w:tc>
          <w:tcPr>
            <w:tcW w:type="auto" w:w="0"/>
            <w:tcBorders>
              <w:top w:val="single" w:color="D7DCE8" w:sz="4"/>
              <w:left w:val="single" w:color="D7DCE8" w:sz="4"/>
              <w:bottom w:val="single" w:color="D7DCE8" w:sz="4"/>
              <w:right w:val="single" w:color="D7DCE8" w:sz="4"/>
            </w:tcBorders>
            <w:shd w:fill="F4F6FA" w:val="clear"/>
            <w:tcMar>
              <w:top w:type="dxa" w:w="70"/>
              <w:left w:type="dxa" w:w="110"/>
              <w:bottom w:type="dxa" w:w="70"/>
              <w:right w:type="dxa" w:w="110"/>
            </w:tcMar>
          </w:tcPr>
          <w:p>
            <w:pPr>
              <w:spacing w:after="0" w:line="270"/>
            </w:pPr>
            <w:r>
              <w:rPr>
                <w:rFonts w:ascii="Calibri" w:cs="Calibri" w:eastAsia="Calibri" w:hAnsi="Calibri"/>
                <w:b/>
                <w:bCs/>
                <w:color w:val="5A6480"/>
                <w:sz w:val="19"/>
                <w:szCs w:val="19"/>
              </w:rPr>
              <w:t xml:space="preserve">Data</w:t>
            </w:r>
          </w:p>
        </w:tc>
        <w:tc>
          <w:tcPr>
            <w:tcW w:type="auto" w:w="0"/>
            <w:tcBorders>
              <w:top w:val="single" w:color="D7DCE8" w:sz="4"/>
              <w:left w:val="single" w:color="D7DCE8" w:sz="4"/>
              <w:bottom w:val="single" w:color="D7DCE8" w:sz="4"/>
              <w:right w:val="single" w:color="D7DCE8" w:sz="4"/>
            </w:tcBorders>
            <w:shd w:fill="F4F6FA" w:val="clear"/>
            <w:tcMar>
              <w:top w:type="dxa" w:w="70"/>
              <w:left w:type="dxa" w:w="110"/>
              <w:bottom w:type="dxa" w:w="70"/>
              <w:right w:type="dxa" w:w="110"/>
            </w:tcMar>
          </w:tcPr>
          <w:p>
            <w:pPr>
              <w:spacing w:after="0" w:line="270"/>
            </w:pPr>
            <w:r>
              <w:rPr>
                <w:rFonts w:ascii="Calibri" w:cs="Calibri" w:eastAsia="Calibri" w:hAnsi="Calibri"/>
                <w:b/>
                <w:bCs/>
                <w:color w:val="5A6480"/>
                <w:sz w:val="19"/>
                <w:szCs w:val="19"/>
              </w:rPr>
              <w:t xml:space="preserve">Store</w:t>
            </w:r>
          </w:p>
        </w:tc>
        <w:tc>
          <w:tcPr>
            <w:tcW w:type="auto" w:w="0"/>
            <w:tcBorders>
              <w:top w:val="single" w:color="D7DCE8" w:sz="4"/>
              <w:left w:val="single" w:color="D7DCE8" w:sz="4"/>
              <w:bottom w:val="single" w:color="D7DCE8" w:sz="4"/>
              <w:right w:val="single" w:color="D7DCE8" w:sz="4"/>
            </w:tcBorders>
            <w:shd w:fill="F4F6FA" w:val="clear"/>
            <w:tcMar>
              <w:top w:type="dxa" w:w="70"/>
              <w:left w:type="dxa" w:w="110"/>
              <w:bottom w:type="dxa" w:w="70"/>
              <w:right w:type="dxa" w:w="110"/>
            </w:tcMar>
          </w:tcPr>
          <w:p>
            <w:pPr>
              <w:spacing w:after="0" w:line="270"/>
            </w:pPr>
            <w:r>
              <w:rPr>
                <w:rFonts w:ascii="Calibri" w:cs="Calibri" w:eastAsia="Calibri" w:hAnsi="Calibri"/>
                <w:b/>
                <w:bCs/>
                <w:color w:val="5A6480"/>
                <w:sz w:val="19"/>
                <w:szCs w:val="19"/>
              </w:rPr>
              <w:t xml:space="preserve">Notes</w:t>
            </w:r>
          </w:p>
        </w:tc>
      </w:tr>
      <w:tr>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Credential hash (SHA-256 of signed VC)</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Chain · Index · QR</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Chain copy is authoritative; index and QR carry it for lookup.</w:t>
            </w:r>
          </w:p>
        </w:tc>
      </w:tr>
      <w:tr>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IPFS CID of the encrypted VC</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Index · QR · Chain (keccak only)</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The chain holds a hash of the CID, enough to detect a swapped document.</w:t>
            </w:r>
          </w:p>
        </w:tc>
      </w:tr>
      <w:tr>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Signed VC document</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IPFS</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AES-256-GCM ciphertext; readable only with the server key.</w:t>
            </w:r>
          </w:p>
        </w:tc>
      </w:tr>
      <w:tr>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Issuer wallet, DID, authorisation, revocation of role</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Chain · Index</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Chain decides; index mirrors as </w:t>
            </w:r>
            <w:r>
              <w:rPr>
                <w:rFonts w:ascii="Consolas" w:cs="Consolas" w:eastAsia="Consolas" w:hAnsi="Consolas"/>
                <w:color w:val="17203A"/>
                <w:sz w:val="20"/>
                <w:szCs w:val="20"/>
                <w:shd w:fill="EEF1F7" w:val="clear"/>
              </w:rPr>
              <w:t xml:space="preserve">onChain</w:t>
            </w:r>
            <w:r>
              <w:rPr>
                <w:rFonts w:ascii="Calibri" w:cs="Calibri" w:eastAsia="Calibri" w:hAnsi="Calibri"/>
                <w:color w:val="17203A"/>
                <w:sz w:val="20"/>
                <w:szCs w:val="20"/>
              </w:rPr>
              <w:t xml:space="preserve">, </w:t>
            </w:r>
            <w:r>
              <w:rPr>
                <w:rFonts w:ascii="Consolas" w:cs="Consolas" w:eastAsia="Consolas" w:hAnsi="Consolas"/>
                <w:color w:val="17203A"/>
                <w:sz w:val="20"/>
                <w:szCs w:val="20"/>
                <w:shd w:fill="EEF1F7" w:val="clear"/>
              </w:rPr>
              <w:t xml:space="preserve">registrationTx</w:t>
            </w:r>
            <w:r>
              <w:rPr>
                <w:rFonts w:ascii="Calibri" w:cs="Calibri" w:eastAsia="Calibri" w:hAnsi="Calibri"/>
                <w:color w:val="17203A"/>
                <w:sz w:val="20"/>
                <w:szCs w:val="20"/>
              </w:rPr>
              <w:t xml:space="preserve">.</w:t>
            </w:r>
          </w:p>
        </w:tc>
      </w:tr>
      <w:tr>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Issuer signing private key</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Index</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AES-encrypted at rest in the issuers collection. Never on chain or IPFS.</w:t>
            </w:r>
          </w:p>
        </w:tc>
      </w:tr>
      <w:tr>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Graduate name, NRC, qualification title, year, ZQF level</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Index · IPFS (encrypted)</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Never on chain. NRC is masked in every public response.</w:t>
            </w:r>
          </w:p>
        </w:tc>
      </w:tr>
      <w:tr>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Revocation with reason code, supersession link</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Chain · Index</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Chain is authoritative; index adds </w:t>
            </w:r>
            <w:r>
              <w:rPr>
                <w:rFonts w:ascii="Consolas" w:cs="Consolas" w:eastAsia="Consolas" w:hAnsi="Consolas"/>
                <w:color w:val="17203A"/>
                <w:sz w:val="20"/>
                <w:szCs w:val="20"/>
                <w:shd w:fill="EEF1F7" w:val="clear"/>
              </w:rPr>
              <w:t xml:space="preserve">supersededBy</w:t>
            </w:r>
            <w:r>
              <w:rPr>
                <w:rFonts w:ascii="Calibri" w:cs="Calibri" w:eastAsia="Calibri" w:hAnsi="Calibri"/>
                <w:color w:val="17203A"/>
                <w:sz w:val="20"/>
                <w:szCs w:val="20"/>
              </w:rPr>
              <w:t xml:space="preserve"> / </w:t>
            </w:r>
            <w:r>
              <w:rPr>
                <w:rFonts w:ascii="Consolas" w:cs="Consolas" w:eastAsia="Consolas" w:hAnsi="Consolas"/>
                <w:color w:val="17203A"/>
                <w:sz w:val="20"/>
                <w:szCs w:val="20"/>
                <w:shd w:fill="EEF1F7" w:val="clear"/>
              </w:rPr>
              <w:t xml:space="preserve">supersedes</w:t>
            </w:r>
            <w:r>
              <w:rPr>
                <w:rFonts w:ascii="Calibri" w:cs="Calibri" w:eastAsia="Calibri" w:hAnsi="Calibri"/>
                <w:color w:val="17203A"/>
                <w:sz w:val="20"/>
                <w:szCs w:val="20"/>
              </w:rPr>
              <w:t xml:space="preserve"> both ways.</w:t>
            </w:r>
          </w:p>
        </w:tc>
      </w:tr>
      <w:tr>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ZAQA validation state, ZAQA reference, validation report</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Index</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Regulatory decision, off-chain by design, with append-only events.</w:t>
            </w:r>
          </w:p>
        </w:tc>
      </w:tr>
      <w:tr>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Suspension, disputes, correction requests</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Index</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Off-chain; suspension blocks certificate download but leaves the anchor VERIFIED.</w:t>
            </w:r>
          </w:p>
        </w:tc>
      </w:tr>
      <w:tr>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Programmes, qualifications register, NQF levels</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Index</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Configuration data used by the validation engine's checks.</w:t>
            </w:r>
          </w:p>
        </w:tc>
      </w:tr>
      <w:tr>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Applications, evidence uploads, accreditation documents</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Index · IPFS</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Uploaded files are pinned to IPFS; the CID is kept in the index.</w:t>
            </w:r>
          </w:p>
        </w:tc>
      </w:tr>
      <w:tr>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Invoices, payments, receipts, notifications, activity log</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Index</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Operational records only.</w:t>
            </w:r>
          </w:p>
        </w:tc>
      </w:tr>
      <w:tr>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Verification attempts</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alibri" w:cs="Calibri" w:eastAsia="Calibri" w:hAnsi="Calibri"/>
                <w:color w:val="17203A"/>
                <w:sz w:val="20"/>
                <w:szCs w:val="20"/>
              </w:rPr>
              <w:t xml:space="preserve">Index</w:t>
            </w:r>
          </w:p>
        </w:tc>
        <w:tc>
          <w:tcPr>
            <w:tcW w:type="auto" w:w="0"/>
            <w:tcBorders>
              <w:top w:val="single" w:color="D7DCE8" w:sz="4"/>
              <w:left w:val="single" w:color="D7DCE8" w:sz="4"/>
              <w:bottom w:val="single" w:color="D7DCE8" w:sz="4"/>
              <w:right w:val="single" w:color="D7DCE8" w:sz="4"/>
            </w:tcBorders>
            <w:tcMar>
              <w:top w:type="dxa" w:w="70"/>
              <w:left w:type="dxa" w:w="110"/>
              <w:bottom w:type="dxa" w:w="70"/>
              <w:right w:type="dxa" w:w="110"/>
            </w:tcMar>
          </w:tcPr>
          <w:p>
            <w:pPr>
              <w:spacing w:after="0" w:line="270"/>
            </w:pPr>
            <w:r>
              <w:rPr>
                <w:rFonts w:ascii="Consolas" w:cs="Consolas" w:eastAsia="Consolas" w:hAnsi="Consolas"/>
                <w:color w:val="17203A"/>
                <w:sz w:val="20"/>
                <w:szCs w:val="20"/>
                <w:shd w:fill="EEF1F7" w:val="clear"/>
              </w:rPr>
              <w:t xml:space="preserve">verificationlogs</w:t>
            </w:r>
            <w:r>
              <w:rPr>
                <w:rFonts w:ascii="Calibri" w:cs="Calibri" w:eastAsia="Calibri" w:hAnsi="Calibri"/>
                <w:color w:val="17203A"/>
                <w:sz w:val="20"/>
                <w:szCs w:val="20"/>
              </w:rPr>
              <w:t xml:space="preserve">: hash, result, mode, latency. No PII.</w:t>
            </w:r>
          </w:p>
        </w:tc>
      </w:tr>
    </w:tbl>
    <w:sectPr>
      <w:headerReference w:type="default" r:id="rId7"/>
      <w:footerReference w:type="default" r:id="rId8"/>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80"/>
        <w:sz w:val="17"/>
        <w:szCs w:val="17"/>
      </w:rPr>
      <w:t xml:space="preserve">Page </w:t>
    </w:r>
    <w:r>
      <w:rPr>
        <w:rFonts w:ascii="Calibri" w:cs="Calibri" w:eastAsia="Calibri" w:hAnsi="Calibri"/>
        <w:color w:val="5A64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480"/>
        <w:sz w:val="17"/>
        <w:szCs w:val="17"/>
      </w:rPr>
      <w:t xml:space="preserve">BBACVS · Credential data 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2b741e5b047f54771e00ed0ee3716c09d8b67c1.png"/><Relationship Id="rId10" Type="http://schemas.openxmlformats.org/officeDocument/2006/relationships/image" Target="media/d50591080c1718968b1f03cd03b78af0e0c3621f.png"/><Relationship Id="rId11" Type="http://schemas.openxmlformats.org/officeDocument/2006/relationships/image" Target="media/e92eb1c7be192e06b19745e43a7a3344f6111495.png"/><Relationship Id="rId12" Type="http://schemas.openxmlformats.org/officeDocument/2006/relationships/image" Target="media/e1b60180a12cd2ce0d985d2e5b7d1926172fbef3.png"/><Relationship Id="rId13" Type="http://schemas.openxmlformats.org/officeDocument/2006/relationships/image" Target="media/6ec267b8f9179add118e2d639e9196d94cdedfd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BBACVS Credential Data Flow</dc:title>
  <dc:creator>BBACVS</dc:creator>
  <cp:lastModifiedBy>Un-named</cp:lastModifiedBy>
  <cp:revision>1</cp:revision>
  <dcterms:created xsi:type="dcterms:W3CDTF">2026-09-15T09:48:05.865Z</dcterms:created>
  <dcterms:modified xsi:type="dcterms:W3CDTF">2026-09-15T09:48:05.865Z</dcterms:modified>
</cp:coreProperties>
</file>

<file path=docProps/custom.xml><?xml version="1.0" encoding="utf-8"?>
<Properties xmlns="http://schemas.openxmlformats.org/officeDocument/2006/custom-properties" xmlns:vt="http://schemas.openxmlformats.org/officeDocument/2006/docPropsVTypes"/>
</file>