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5E3A"/>
          <w:sz w:val="56"/>
          <w:szCs w:val="56"/>
        </w:rPr>
        <w:t xml:space="preserve">KrishiNetra</w:t>
      </w:r>
    </w:p>
    <w:p>
      <w:pPr>
        <w:spacing w:after="40"/>
      </w:pPr>
      <w:r>
        <w:rPr>
          <w:color w:val="555555"/>
          <w:sz w:val="26"/>
          <w:szCs w:val="26"/>
        </w:rPr>
        <w:t xml:space="preserve">Founder Thesis &amp; Product Specification</w:t>
      </w:r>
    </w:p>
    <w:p>
      <w:pPr>
        <w:spacing w:after="60"/>
      </w:pPr>
      <w:r>
        <w:rPr>
          <w:b/>
          <w:bCs/>
          <w:sz w:val="22"/>
          <w:szCs w:val="22"/>
        </w:rPr>
        <w:t xml:space="preserve">v5.0</w:t>
      </w:r>
    </w:p>
    <w:p>
      <w:pPr>
        <w:spacing w:after="160"/>
      </w:pPr>
      <w:r>
        <w:rPr>
          <w:i/>
          <w:iCs/>
          <w:color w:val="555555"/>
          <w:sz w:val="19"/>
          <w:szCs w:val="19"/>
        </w:rPr>
        <w:t xml:space="preserve">Detailed founder-grade blueprint derived from v2–v4 discussions. Agentic architecture retained; v5 sharpens the deterministic/LLM boundary so it survives backtesting and calibration.</w:t>
      </w:r>
    </w:p>
    <w:p>
      <w:pPr>
        <w:pBdr>
          <w:bottom w:val="single" w:color="2E5E3A" w:sz="6" w:space="1"/>
        </w:pBdr>
        <w:spacing w:after="160" w:before="40"/>
      </w:pPr>
      <w:r>
        <w:t xml:space="preserve"/>
      </w:r>
    </w:p>
    <w:p>
      <w:pPr>
        <w:pStyle w:val="Heading1"/>
      </w:pPr>
      <w:r>
        <w:t xml:space="preserve">Changes in v5</w:t>
      </w:r>
    </w:p>
    <w:p>
      <w:pPr>
        <w:pStyle w:val="ListParagraph"/>
        <w:numPr>
          <w:ilvl w:val="0"/>
          <w:numId w:val="2"/>
        </w:numPr>
        <w:spacing w:after="80" w:line="276"/>
      </w:pPr>
      <w:r>
        <w:rPr>
          <w:b/>
          <w:bCs/>
          <w:color w:val="B45309"/>
        </w:rPr>
        <w:t xml:space="preserve">Agentic, sharpened: </w:t>
      </w:r>
      <w:r>
        <w:t xml:space="preserve">§9 rewritten: agents are classified as deterministic services vs LLM components. The forecast and sell/hold math sit in a deterministic core; agents orchestrate and explain.</w:t>
      </w:r>
    </w:p>
    <w:p>
      <w:pPr>
        <w:pStyle w:val="ListParagraph"/>
        <w:numPr>
          <w:ilvl w:val="0"/>
          <w:numId w:val="2"/>
        </w:numPr>
        <w:spacing w:after="80" w:line="276"/>
      </w:pPr>
      <w:r>
        <w:rPr>
          <w:b/>
          <w:bCs/>
          <w:color w:val="B45309"/>
        </w:rPr>
        <w:t xml:space="preserve">Floor rule: </w:t>
      </w:r>
      <w:r>
        <w:t xml:space="preserve">§8 restores the explicit MSP/CCI floor rule as a named decision rule.</w:t>
      </w:r>
    </w:p>
    <w:p>
      <w:pPr>
        <w:pStyle w:val="ListParagraph"/>
        <w:numPr>
          <w:ilvl w:val="0"/>
          <w:numId w:val="2"/>
        </w:numPr>
        <w:spacing w:after="80" w:line="276"/>
      </w:pPr>
      <w:r>
        <w:rPr>
          <w:b/>
          <w:bCs/>
          <w:color w:val="B45309"/>
        </w:rPr>
        <w:t xml:space="preserve">Open questions: </w:t>
      </w:r>
      <w:r>
        <w:t xml:space="preserve">Three open questions (minimum accuracy, update frequency, next commodity) resolved into §13, §8, and §20; §22 keeps only what remains open.</w:t>
      </w:r>
    </w:p>
    <w:p>
      <w:pPr>
        <w:pStyle w:val="Heading1"/>
      </w:pPr>
      <w:r>
        <w:t xml:space="preserve">1. Founder Thesis</w:t>
      </w:r>
    </w:p>
    <w:p>
      <w:pPr>
        <w:spacing w:after="120" w:before="0" w:line="276"/>
      </w:pPr>
      <w:r>
        <w:t xml:space="preserve">Agricultural participants do not suffer from a lack of prices; they suffer from a lack of decision intelligence. Most platforms answer “What is today’s price?” KrishiNetra answers “What should I do next?”</w:t>
      </w:r>
    </w:p>
    <w:p>
      <w:pPr>
        <w:spacing w:after="120" w:before="0" w:line="276"/>
      </w:pPr>
      <w:r>
        <w:t xml:space="preserve">The central hypothesis: farmers and traders improve realized outcomes when market intelligence is combined with personal context, liquidity constraints, financing realities, and explainable reasoning.</w:t>
      </w:r>
    </w:p>
    <w:p>
      <w:pPr>
        <w:pStyle w:val="Heading1"/>
      </w:pPr>
      <w:r>
        <w:t xml:space="preserve">2. Strategic Decisions</w:t>
      </w:r>
    </w:p>
    <w:p>
      <w:pPr>
        <w:pStyle w:val="ListParagraph"/>
        <w:numPr>
          <w:ilvl w:val="0"/>
          <w:numId w:val="2"/>
        </w:numPr>
        <w:spacing w:after="80" w:line="276"/>
      </w:pPr>
      <w:r>
        <w:rPr>
          <w:b/>
          <w:bCs/>
        </w:rPr>
        <w:t xml:space="preserve">Decision 1 — Cotton-first. </w:t>
      </w:r>
      <w:r>
        <w:t xml:space="preserve">Cotton is storable, high value, actively traded, futures-linked, and widely cultivated.</w:t>
      </w:r>
    </w:p>
    <w:p>
      <w:pPr>
        <w:pStyle w:val="ListParagraph"/>
        <w:numPr>
          <w:ilvl w:val="0"/>
          <w:numId w:val="2"/>
        </w:numPr>
        <w:spacing w:after="80" w:line="276"/>
      </w:pPr>
      <w:r>
        <w:rPr>
          <w:b/>
          <w:bCs/>
        </w:rPr>
        <w:t xml:space="preserve">Decision 2 — Net realized value. </w:t>
      </w:r>
      <w:r>
        <w:t xml:space="preserve">Recommendations account for carry costs and liquidity realities.</w:t>
      </w:r>
    </w:p>
    <w:p>
      <w:pPr>
        <w:pStyle w:val="ListParagraph"/>
        <w:numPr>
          <w:ilvl w:val="0"/>
          <w:numId w:val="2"/>
        </w:numPr>
        <w:spacing w:after="80" w:line="276"/>
      </w:pPr>
      <w:r>
        <w:rPr>
          <w:b/>
          <w:bCs/>
        </w:rPr>
        <w:t xml:space="preserve">Decision 3 — Futures-curve benchmark. </w:t>
      </w:r>
      <w:r>
        <w:t xml:space="preserve">The system must outperform futures-implied decisions before claiming value.</w:t>
      </w:r>
    </w:p>
    <w:p>
      <w:pPr>
        <w:pStyle w:val="ListParagraph"/>
        <w:numPr>
          <w:ilvl w:val="0"/>
          <w:numId w:val="2"/>
        </w:numPr>
        <w:spacing w:after="80" w:line="276"/>
      </w:pPr>
      <w:r>
        <w:rPr>
          <w:b/>
          <w:bCs/>
        </w:rPr>
        <w:t xml:space="preserve">Decision 4 — Agentic AI. </w:t>
      </w:r>
      <w:r>
        <w:t xml:space="preserve">Specialized agents provide transparency and extensibility.</w:t>
      </w:r>
    </w:p>
    <w:p>
      <w:pPr>
        <w:pStyle w:val="ListParagraph"/>
        <w:numPr>
          <w:ilvl w:val="0"/>
          <w:numId w:val="2"/>
        </w:numPr>
        <w:spacing w:after="80" w:line="276"/>
      </w:pPr>
      <w:r>
        <w:rPr>
          <w:b/>
          <w:bCs/>
        </w:rPr>
        <w:t xml:space="preserve">Decision 5 — Farmers remain free. </w:t>
      </w:r>
      <w:r>
        <w:t xml:space="preserve">Monetization comes later through traders, enterprise intelligence, financing, and ecosystem services.</w:t>
      </w:r>
    </w:p>
    <w:p>
      <w:pPr>
        <w:pStyle w:val="ListParagraph"/>
        <w:numPr>
          <w:ilvl w:val="0"/>
          <w:numId w:val="2"/>
        </w:numPr>
        <w:spacing w:after="80" w:line="276"/>
      </w:pPr>
      <w:r>
        <w:rPr>
          <w:b/>
          <w:bCs/>
          <w:color w:val="B45309"/>
        </w:rPr>
        <w:t xml:space="preserve">Decision 6 — Agents orchestrate; numbers decide. </w:t>
      </w:r>
      <w:r>
        <w:t xml:space="preserve">Forecasting and sell/hold logic are deterministic and backtestable; agents handle orchestration and explanation, never the prediction or the recommendation math.</w:t>
      </w:r>
    </w:p>
    <w:p>
      <w:pPr>
        <w:pStyle w:val="Heading1"/>
      </w:pPr>
      <w:r>
        <w:t xml:space="preserve">3. Market Problem</w:t>
      </w:r>
    </w:p>
    <w:p>
      <w:pPr>
        <w:spacing w:after="120" w:before="0" w:line="276"/>
      </w:pPr>
      <w:r>
        <w:t xml:space="preserve">Farmers frequently sell at harvest because of liquidity requirements rather than market expectations. Traders often hold inventory without a rigorous risk-adjusted framework. Current systems provide prices and news but not decision support.</w:t>
      </w:r>
    </w:p>
    <w:p>
      <w:pPr>
        <w:spacing w:after="120" w:before="0" w:line="276"/>
      </w:pPr>
      <w:r>
        <w:t xml:space="preserve">The gap is not information availability. The gap is contextual decision intelligence.</w:t>
      </w:r>
    </w:p>
    <w:p>
      <w:pPr>
        <w:pStyle w:val="Heading1"/>
      </w:pPr>
      <w:r>
        <w:t xml:space="preserve">4. Economic Framework</w:t>
      </w:r>
    </w:p>
    <w:p>
      <w:pPr>
        <w:pStyle w:val="Heading2"/>
      </w:pPr>
      <w:r>
        <w:t xml:space="preserve">Farmer economics</w:t>
      </w:r>
    </w:p>
    <w:p>
      <w:pPr>
        <w:spacing w:after="120" w:before="0" w:line="276"/>
      </w:pPr>
      <w:r>
        <w:t xml:space="preserve">Harvest timing, loan obligations, cash requirements, storage availability, risk tolerance.</w:t>
      </w:r>
    </w:p>
    <w:p>
      <w:pPr>
        <w:pStyle w:val="Heading2"/>
      </w:pPr>
      <w:r>
        <w:t xml:space="preserve">Trader economics</w:t>
      </w:r>
    </w:p>
    <w:p>
      <w:pPr>
        <w:spacing w:after="120" w:before="0" w:line="276"/>
      </w:pPr>
      <w:r>
        <w:t xml:space="preserve">Inventory financing, working-capital cost, storage cost, portfolio exposure, expected return.</w:t>
      </w:r>
    </w:p>
    <w:p>
      <w:pPr>
        <w:spacing w:after="120" w:before="0" w:line="276"/>
      </w:pPr>
      <w:r>
        <w:rPr>
          <w:b/>
          <w:bCs/>
        </w:rPr>
        <w:t xml:space="preserve">All recommendations are evaluated on net value, not gross price movement.</w:t>
      </w:r>
    </w:p>
    <w:p>
      <w:pPr>
        <w:pStyle w:val="Heading1"/>
      </w:pPr>
      <w:r>
        <w:t xml:space="preserve">5. Product Vision</w:t>
      </w:r>
    </w:p>
    <w:p>
      <w:pPr>
        <w:spacing w:after="120" w:before="0" w:line="276"/>
      </w:pPr>
      <w:r>
        <w:t xml:space="preserve">KrishiNetra becomes the intelligence layer for agricultural inventory decisions. Long-term participants: farmers, traders, ginners, processors, warehouses, lenders, exporters. Phase 1 focuses on cotton farmers and traders.</w:t>
      </w:r>
    </w:p>
    <w:p>
      <w:pPr>
        <w:pStyle w:val="Heading1"/>
      </w:pPr>
      <w:r>
        <w:t xml:space="preserve">6. Personas</w:t>
      </w:r>
    </w:p>
    <w:p>
      <w:pPr>
        <w:pStyle w:val="ListParagraph"/>
        <w:numPr>
          <w:ilvl w:val="0"/>
          <w:numId w:val="2"/>
        </w:numPr>
        <w:spacing w:after="80" w:line="276"/>
      </w:pPr>
      <w:r>
        <w:rPr>
          <w:b/>
          <w:bCs/>
        </w:rPr>
        <w:t xml:space="preserve">Farmer — </w:t>
      </w:r>
      <w:r>
        <w:t xml:space="preserve">decision intelligence.</w:t>
      </w:r>
    </w:p>
    <w:p>
      <w:pPr>
        <w:pStyle w:val="ListParagraph"/>
        <w:numPr>
          <w:ilvl w:val="0"/>
          <w:numId w:val="2"/>
        </w:numPr>
        <w:spacing w:after="80" w:line="276"/>
      </w:pPr>
      <w:r>
        <w:rPr>
          <w:b/>
          <w:bCs/>
        </w:rPr>
        <w:t xml:space="preserve">Trader — </w:t>
      </w:r>
      <w:r>
        <w:t xml:space="preserve">portfolio intelligence.</w:t>
      </w:r>
    </w:p>
    <w:p>
      <w:pPr>
        <w:pStyle w:val="ListParagraph"/>
        <w:numPr>
          <w:ilvl w:val="0"/>
          <w:numId w:val="2"/>
        </w:numPr>
        <w:spacing w:after="80" w:line="276"/>
      </w:pPr>
      <w:r>
        <w:rPr>
          <w:b/>
          <w:bCs/>
        </w:rPr>
        <w:t xml:space="preserve">Future enterprise — </w:t>
      </w:r>
      <w:r>
        <w:t xml:space="preserve">procurement and inventory intelligence.</w:t>
      </w:r>
    </w:p>
    <w:p>
      <w:pPr>
        <w:pStyle w:val="Heading1"/>
      </w:pPr>
      <w:r>
        <w:t xml:space="preserve">7. Market Intelligence Mode</w:t>
      </w:r>
    </w:p>
    <w:p>
      <w:pPr>
        <w:spacing w:after="120" w:before="0" w:line="276"/>
      </w:pPr>
      <w:r>
        <w:t xml:space="preserve">No registration required. Provides current prices, outlook, forecasts, confidence, bullish/bearish factors, and supply/demand analysis. Purpose: validate the intelligence engine independently of user adoption.</w:t>
      </w:r>
    </w:p>
    <w:p>
      <w:pPr>
        <w:spacing w:after="60"/>
      </w:pPr>
      <w:r>
        <w:rPr>
          <w:b/>
          <w:bCs/>
          <w:color w:val="B45309"/>
          <w:sz w:val="18"/>
          <w:szCs w:val="18"/>
        </w:rPr>
        <w:t xml:space="preserve">v5 — </w:t>
      </w:r>
      <w:r>
        <w:rPr>
          <w:i/>
          <w:iCs/>
          <w:color w:val="B45309"/>
          <w:sz w:val="18"/>
          <w:szCs w:val="18"/>
        </w:rPr>
        <w:t xml:space="preserve">Computed centrally on each data refresh and shared across all users, so it costs nothing per user (see §9).</w:t>
      </w:r>
    </w:p>
    <w:p>
      <w:pPr>
        <w:pStyle w:val="Heading1"/>
      </w:pPr>
      <w:r>
        <w:t xml:space="preserve">8. Decision Mode</w:t>
      </w:r>
    </w:p>
    <w:p>
      <w:pPr>
        <w:spacing w:after="120" w:before="0" w:line="276"/>
      </w:pPr>
      <w:r>
        <w:t xml:space="preserve">User enters: commodity, quantity, storage access, liquidity need, financing profile, risk profile.</w:t>
      </w:r>
    </w:p>
    <w:p>
      <w:pPr>
        <w:spacing w:after="120" w:before="0" w:line="276"/>
      </w:pPr>
      <w:r>
        <w:t xml:space="preserve">Output: Sell, Hold, Partial Sell, or Partial Hold — always shown as net value after carry, always with reasoning.</w:t>
      </w:r>
    </w:p>
    <w:p>
      <w:pPr>
        <w:pStyle w:val="Heading2"/>
      </w:pPr>
      <w:r>
        <w:t xml:space="preserve">Decision logic is deterministic</w:t>
      </w:r>
    </w:p>
    <w:p>
      <w:pPr>
        <w:spacing w:after="120" w:before="0" w:line="276"/>
      </w:pPr>
      <w:r>
        <w:t xml:space="preserve">The recommendation is net-of-carry math plus named rules, not an LLM judgment:</w:t>
      </w:r>
    </w:p>
    <w:p>
      <w:pPr>
        <w:spacing w:after="110"/>
        <w:jc w:val="center"/>
      </w:pPr>
      <w:r>
        <w:rPr>
          <w:i/>
          <w:iCs/>
        </w:rPr>
        <w:t xml:space="preserve">Net hold value ≈ forecast price(h) − current price − storage(h) − financing(h, cost of capital) − expected quality loss(h) − risk adjustment</w:t>
      </w:r>
    </w:p>
    <w:p>
      <w:pPr>
        <w:spacing w:after="60"/>
      </w:pPr>
      <w:r>
        <w:rPr>
          <w:b/>
          <w:bCs/>
          <w:color w:val="B45309"/>
          <w:sz w:val="18"/>
          <w:szCs w:val="18"/>
        </w:rPr>
        <w:t xml:space="preserve">v5 — </w:t>
      </w:r>
      <w:r>
        <w:rPr>
          <w:i/>
          <w:iCs/>
          <w:color w:val="B45309"/>
          <w:sz w:val="18"/>
          <w:szCs w:val="18"/>
        </w:rPr>
        <w:t xml:space="preserve">MSP/CCI floor rule (restored): when spot is at or near the MSP floor and CCI is actively procuring, downside is partly capped and the hold calculus changes shape. Handled as an explicit rule in the deterministic Decision layer, not buried in the model.</w:t>
      </w:r>
    </w:p>
    <w:p>
      <w:pPr>
        <w:pStyle w:val="Heading1"/>
      </w:pPr>
      <w:r>
        <w:t xml:space="preserve">9. Agentic AI Architecture</w:t>
      </w:r>
    </w:p>
    <w:p>
      <w:pPr>
        <w:spacing w:after="120" w:before="0" w:line="276"/>
      </w:pPr>
      <w:r>
        <w:t xml:space="preserve">KrishiNetra is agent-orchestrated: agents separate concerns by signal domain, which keeps the system transparent and cheap to extend by commodity. Agents come in two kinds, and the boundary between them is load-bearing for validation and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640"/>
        <w:gridCol w:w="4560"/>
      </w:tblGrid>
      <w:tr>
        <w:trPr>
          <w:tblHeader/>
        </w:trPr>
        <w:tc>
          <w:tcPr>
            <w:tcW w:type="dxa" w:w="2160"/>
            <w:tcBorders>
              <w:top w:val="single" w:color="CCCCCC" w:sz="1"/>
              <w:left w:val="single" w:color="CCCCCC" w:sz="1"/>
              <w:bottom w:val="single" w:color="CCCCCC" w:sz="1"/>
              <w:right w:val="single" w:color="CCCCCC" w:sz="1"/>
            </w:tcBorders>
            <w:shd w:fill="2E5E3A" w:val="clear"/>
            <w:tcMar>
              <w:top w:type="dxa" w:w="70"/>
              <w:left w:type="dxa" w:w="110"/>
              <w:bottom w:type="dxa" w:w="70"/>
              <w:right w:type="dxa" w:w="110"/>
            </w:tcMar>
            <w:vAlign w:val="center"/>
          </w:tcPr>
          <w:p>
            <w:r>
              <w:rPr>
                <w:b/>
                <w:bCs/>
                <w:color w:val="FFFFFF"/>
              </w:rPr>
              <w:t xml:space="preserve">Agent</w:t>
            </w:r>
          </w:p>
        </w:tc>
        <w:tc>
          <w:tcPr>
            <w:tcW w:type="dxa" w:w="2640"/>
            <w:tcBorders>
              <w:top w:val="single" w:color="CCCCCC" w:sz="1"/>
              <w:left w:val="single" w:color="CCCCCC" w:sz="1"/>
              <w:bottom w:val="single" w:color="CCCCCC" w:sz="1"/>
              <w:right w:val="single" w:color="CCCCCC" w:sz="1"/>
            </w:tcBorders>
            <w:shd w:fill="2E5E3A" w:val="clear"/>
            <w:tcMar>
              <w:top w:type="dxa" w:w="70"/>
              <w:left w:type="dxa" w:w="110"/>
              <w:bottom w:type="dxa" w:w="70"/>
              <w:right w:type="dxa" w:w="110"/>
            </w:tcMar>
            <w:vAlign w:val="center"/>
          </w:tcPr>
          <w:p>
            <w:r>
              <w:rPr>
                <w:b/>
                <w:bCs/>
                <w:color w:val="FFFFFF"/>
              </w:rPr>
              <w:t xml:space="preserve">Implementation</w:t>
            </w:r>
          </w:p>
        </w:tc>
        <w:tc>
          <w:tcPr>
            <w:tcW w:type="dxa" w:w="4560"/>
            <w:tcBorders>
              <w:top w:val="single" w:color="CCCCCC" w:sz="1"/>
              <w:left w:val="single" w:color="CCCCCC" w:sz="1"/>
              <w:bottom w:val="single" w:color="CCCCCC" w:sz="1"/>
              <w:right w:val="single" w:color="CCCCCC" w:sz="1"/>
            </w:tcBorders>
            <w:shd w:fill="2E5E3A" w:val="clear"/>
            <w:tcMar>
              <w:top w:type="dxa" w:w="70"/>
              <w:left w:type="dxa" w:w="110"/>
              <w:bottom w:type="dxa" w:w="70"/>
              <w:right w:type="dxa" w:w="110"/>
            </w:tcMar>
            <w:vAlign w:val="center"/>
          </w:tcPr>
          <w:p>
            <w:r>
              <w:rPr>
                <w:b/>
                <w:bCs/>
                <w:color w:val="FFFFFF"/>
              </w:rPr>
              <w:t xml:space="preserve">Output</w:t>
            </w:r>
          </w:p>
        </w:tc>
      </w:tr>
      <w:tr>
        <w:tc>
          <w:tcPr>
            <w:tcW w:type="dxa" w:w="2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0"/>
            </w:pPr>
            <w:r>
              <w:t xml:space="preserve">Market</w:t>
            </w:r>
          </w:p>
        </w:tc>
        <w:tc>
          <w:tcPr>
            <w:tcW w:type="dxa" w:w="264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0"/>
            </w:pPr>
            <w:r>
              <w:t xml:space="preserve">Deterministic service</w:t>
            </w:r>
          </w:p>
        </w:tc>
        <w:tc>
          <w:tcPr>
            <w:tcW w:type="dxa" w:w="45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0"/>
            </w:pPr>
            <w:r>
              <w:t xml:space="preserve">Prices, arrivals, regional strength — as a structured signal</w:t>
            </w:r>
          </w:p>
        </w:tc>
      </w:tr>
      <w:tr>
        <w:tc>
          <w:tcPr>
            <w:tcW w:type="dxa" w:w="2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0"/>
            </w:pPr>
            <w:r>
              <w:t xml:space="preserve">Weather</w:t>
            </w:r>
          </w:p>
        </w:tc>
        <w:tc>
          <w:tcPr>
            <w:tcW w:type="dxa" w:w="264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0"/>
            </w:pPr>
            <w:r>
              <w:t xml:space="preserve">Deterministic service</w:t>
            </w:r>
          </w:p>
        </w:tc>
        <w:tc>
          <w:tcPr>
            <w:tcW w:type="dxa" w:w="45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0"/>
            </w:pPr>
            <w:r>
              <w:t xml:space="preserve">Rainfall, drought, production-risk signal</w:t>
            </w:r>
          </w:p>
        </w:tc>
      </w:tr>
      <w:tr>
        <w:tc>
          <w:tcPr>
            <w:tcW w:type="dxa" w:w="2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0"/>
            </w:pPr>
            <w:r>
              <w:t xml:space="preserve">Policy</w:t>
            </w:r>
          </w:p>
        </w:tc>
        <w:tc>
          <w:tcPr>
            <w:tcW w:type="dxa" w:w="264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0"/>
            </w:pPr>
            <w:r>
              <w:t xml:space="preserve">Deterministic service</w:t>
            </w:r>
          </w:p>
        </w:tc>
        <w:tc>
          <w:tcPr>
            <w:tcW w:type="dxa" w:w="45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0"/>
            </w:pPr>
            <w:r>
              <w:t xml:space="preserve">MSP, CCI, export-restriction signal</w:t>
            </w:r>
          </w:p>
        </w:tc>
      </w:tr>
      <w:tr>
        <w:tc>
          <w:tcPr>
            <w:tcW w:type="dxa" w:w="2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0"/>
            </w:pPr>
            <w:r>
              <w:t xml:space="preserve">Demand</w:t>
            </w:r>
          </w:p>
        </w:tc>
        <w:tc>
          <w:tcPr>
            <w:tcW w:type="dxa" w:w="264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0"/>
            </w:pPr>
            <w:r>
              <w:t xml:space="preserve">Deterministic service</w:t>
            </w:r>
          </w:p>
        </w:tc>
        <w:tc>
          <w:tcPr>
            <w:tcW w:type="dxa" w:w="45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0"/>
            </w:pPr>
            <w:r>
              <w:t xml:space="preserve">Exports, mills, consumption signal</w:t>
            </w:r>
          </w:p>
        </w:tc>
      </w:tr>
      <w:tr>
        <w:tc>
          <w:tcPr>
            <w:tcW w:type="dxa" w:w="2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0"/>
            </w:pPr>
            <w:r>
              <w:t xml:space="preserve">Futures</w:t>
            </w:r>
          </w:p>
        </w:tc>
        <w:tc>
          <w:tcPr>
            <w:tcW w:type="dxa" w:w="264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0"/>
            </w:pPr>
            <w:r>
              <w:t xml:space="preserve">Deterministic service</w:t>
            </w:r>
          </w:p>
        </w:tc>
        <w:tc>
          <w:tcPr>
            <w:tcW w:type="dxa" w:w="45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0"/>
            </w:pPr>
            <w:r>
              <w:t xml:space="preserve">Futures curve, basis, open interest</w:t>
            </w:r>
          </w:p>
        </w:tc>
      </w:tr>
      <w:tr>
        <w:tc>
          <w:tcPr>
            <w:tcW w:type="dxa" w:w="2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0"/>
            </w:pPr>
            <w:r>
              <w:t xml:space="preserve">Global</w:t>
            </w:r>
          </w:p>
        </w:tc>
        <w:tc>
          <w:tcPr>
            <w:tcW w:type="dxa" w:w="264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0"/>
            </w:pPr>
            <w:r>
              <w:t xml:space="preserve">Deterministic service</w:t>
            </w:r>
          </w:p>
        </w:tc>
        <w:tc>
          <w:tcPr>
            <w:tcW w:type="dxa" w:w="45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0"/>
            </w:pPr>
            <w:r>
              <w:t xml:space="preserve">International demand and inventories</w:t>
            </w:r>
          </w:p>
        </w:tc>
      </w:tr>
      <w:tr>
        <w:tc>
          <w:tcPr>
            <w:tcW w:type="dxa" w:w="2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0"/>
            </w:pPr>
            <w:r>
              <w:t xml:space="preserve">Forecast</w:t>
            </w:r>
          </w:p>
        </w:tc>
        <w:tc>
          <w:tcPr>
            <w:tcW w:type="dxa" w:w="264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0"/>
            </w:pPr>
            <w:r>
              <w:t xml:space="preserve">Deterministic model</w:t>
            </w:r>
          </w:p>
        </w:tc>
        <w:tc>
          <w:tcPr>
            <w:tcW w:type="dxa" w:w="45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0"/>
            </w:pPr>
            <w:r>
              <w:t xml:space="preserve">30/60/90-day outlook with probability bands</w:t>
            </w:r>
          </w:p>
        </w:tc>
      </w:tr>
      <w:tr>
        <w:tc>
          <w:tcPr>
            <w:tcW w:type="dxa" w:w="2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0"/>
            </w:pPr>
            <w:r>
              <w:t xml:space="preserve">Decision</w:t>
            </w:r>
          </w:p>
        </w:tc>
        <w:tc>
          <w:tcPr>
            <w:tcW w:type="dxa" w:w="264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0"/>
            </w:pPr>
            <w:r>
              <w:rPr>
                <w:b/>
                <w:bCs/>
              </w:rPr>
              <w:t xml:space="preserve">Deterministic math + rules</w:t>
            </w:r>
          </w:p>
        </w:tc>
        <w:tc>
          <w:tcPr>
            <w:tcW w:type="dxa" w:w="45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0"/>
            </w:pPr>
            <w:r>
              <w:t xml:space="preserve">The Sell/Hold/Partial recommendation (net of carry)</w:t>
            </w:r>
          </w:p>
        </w:tc>
      </w:tr>
      <w:tr>
        <w:tc>
          <w:tcPr>
            <w:tcW w:type="dxa" w:w="2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0"/>
            </w:pPr>
            <w:r>
              <w:t xml:space="preserve">Explainability</w:t>
            </w:r>
          </w:p>
        </w:tc>
        <w:tc>
          <w:tcPr>
            <w:tcW w:type="dxa" w:w="264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0"/>
            </w:pPr>
            <w:r>
              <w:rPr>
                <w:b/>
                <w:bCs/>
                <w:color w:val="2E5E3A"/>
              </w:rPr>
              <w:t xml:space="preserve">LLM</w:t>
            </w:r>
          </w:p>
        </w:tc>
        <w:tc>
          <w:tcPr>
            <w:tcW w:type="dxa" w:w="45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0"/>
            </w:pPr>
            <w:r>
              <w:t xml:space="preserve">Turns structured signals into human-readable reasoning</w:t>
            </w:r>
          </w:p>
        </w:tc>
      </w:tr>
      <w:tr>
        <w:tc>
          <w:tcPr>
            <w:tcW w:type="dxa" w:w="2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0"/>
            </w:pPr>
            <w:r>
              <w:t xml:space="preserve">Conversation</w:t>
            </w:r>
          </w:p>
        </w:tc>
        <w:tc>
          <w:tcPr>
            <w:tcW w:type="dxa" w:w="264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0"/>
            </w:pPr>
            <w:r>
              <w:rPr>
                <w:b/>
                <w:bCs/>
                <w:color w:val="2E5E3A"/>
              </w:rPr>
              <w:t xml:space="preserve">LLM</w:t>
            </w:r>
          </w:p>
        </w:tc>
        <w:tc>
          <w:tcPr>
            <w:tcW w:type="dxa" w:w="45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0"/>
            </w:pPr>
            <w:r>
              <w:t xml:space="preserve">Natural-language Q&amp;A over the explanation</w:t>
            </w:r>
          </w:p>
        </w:tc>
      </w:tr>
    </w:tbl>
    <w:p>
      <w:pPr>
        <w:spacing w:after="80" w:before="120"/>
      </w:pPr>
      <w:r>
        <w:rPr>
          <w:b/>
          <w:bCs/>
        </w:rPr>
        <w:t xml:space="preserve">Three rules hold this together:</w:t>
      </w:r>
    </w:p>
    <w:p>
      <w:pPr>
        <w:pStyle w:val="ListParagraph"/>
        <w:numPr>
          <w:ilvl w:val="0"/>
          <w:numId w:val="2"/>
        </w:numPr>
        <w:spacing w:after="80" w:line="276"/>
      </w:pPr>
      <w:r>
        <w:rPr>
          <w:b/>
          <w:bCs/>
        </w:rPr>
        <w:t xml:space="preserve">Signal contract: </w:t>
      </w:r>
      <w:r>
        <w:t xml:space="preserve">Every domain agent emits a structured signal — value, direction, magnitude, confidence, as-of timestamp — never free text. The Decision layer consumes structured data so it stays auditable; the Explainability Agent is the only component that turns structure into sentences.</w:t>
      </w:r>
    </w:p>
    <w:p>
      <w:pPr>
        <w:pStyle w:val="ListParagraph"/>
        <w:numPr>
          <w:ilvl w:val="0"/>
          <w:numId w:val="2"/>
        </w:numPr>
        <w:spacing w:after="80" w:line="276"/>
      </w:pPr>
      <w:r>
        <w:rPr>
          <w:b/>
          <w:bCs/>
        </w:rPr>
        <w:t xml:space="preserve">Deterministic decision path: </w:t>
      </w:r>
      <w:r>
        <w:t xml:space="preserve">The forecast and the sell/hold math are pure functions of data-as-of-date. This is what makes the §17 backtest and §14 calibration meaningful — we can reconstruct exactly what the system would have recommended on any past date. No LLM sits in the prediction or decision path.</w:t>
      </w:r>
    </w:p>
    <w:p>
      <w:pPr>
        <w:pStyle w:val="ListParagraph"/>
        <w:numPr>
          <w:ilvl w:val="0"/>
          <w:numId w:val="2"/>
        </w:numPr>
        <w:spacing w:after="80" w:line="276"/>
      </w:pPr>
      <w:r>
        <w:rPr>
          <w:b/>
          <w:bCs/>
        </w:rPr>
        <w:t xml:space="preserve">Central precompute: </w:t>
      </w:r>
      <w:r>
        <w:t xml:space="preserve">Domain agents and the forecast run once per data refresh to produce the shared Market Intelligence outlook. Per-user Decision-mode requests then run only net-of-carry math plus one explanation pass — keeping an eight-agent design affordable for a free product.</w:t>
      </w:r>
    </w:p>
    <w:p>
      <w:pPr>
        <w:pStyle w:val="Heading1"/>
      </w:pPr>
      <w:r>
        <w:t xml:space="preserve">10. Data Strategy</w:t>
      </w:r>
    </w:p>
    <w:p>
      <w:pPr>
        <w:pStyle w:val="ListParagraph"/>
        <w:numPr>
          <w:ilvl w:val="0"/>
          <w:numId w:val="2"/>
        </w:numPr>
        <w:spacing w:after="80" w:line="276"/>
      </w:pPr>
      <w:r>
        <w:rPr>
          <w:b/>
          <w:bCs/>
        </w:rPr>
        <w:t xml:space="preserve">Public: </w:t>
      </w:r>
      <w:r>
        <w:t xml:space="preserve">Agmarknet, eNAM, IMD, Agriculture Ministry, USDA, ICAC.</w:t>
      </w:r>
    </w:p>
    <w:p>
      <w:pPr>
        <w:pStyle w:val="ListParagraph"/>
        <w:numPr>
          <w:ilvl w:val="0"/>
          <w:numId w:val="2"/>
        </w:numPr>
        <w:spacing w:after="80" w:line="276"/>
      </w:pPr>
      <w:r>
        <w:rPr>
          <w:b/>
          <w:bCs/>
        </w:rPr>
        <w:t xml:space="preserve">Commercial: </w:t>
      </w:r>
      <w:r>
        <w:t xml:space="preserve">Futures feeds, industry reports.</w:t>
      </w:r>
    </w:p>
    <w:p>
      <w:pPr>
        <w:pStyle w:val="ListParagraph"/>
        <w:numPr>
          <w:ilvl w:val="0"/>
          <w:numId w:val="2"/>
        </w:numPr>
        <w:spacing w:after="80" w:line="276"/>
      </w:pPr>
      <w:r>
        <w:rPr>
          <w:b/>
          <w:bCs/>
        </w:rPr>
        <w:t xml:space="preserve">Proprietary: </w:t>
      </w:r>
      <w:r>
        <w:t xml:space="preserve">Decision sessions, outcomes, farmer intent, trader intent, inventory registration, warehouse occupancy.</w:t>
      </w:r>
    </w:p>
    <w:p>
      <w:pPr>
        <w:pStyle w:val="Heading1"/>
      </w:pPr>
      <w:r>
        <w:t xml:space="preserve">11. Commodity Registry</w:t>
      </w:r>
    </w:p>
    <w:p>
      <w:pPr>
        <w:spacing w:after="120" w:before="0" w:line="276"/>
      </w:pPr>
      <w:r>
        <w:t xml:space="preserve">Every commodity defines its price sources, arrival sources, demand drivers, policy drivers, weather variables, quality dimensions, storage characteristics, and forecast horizons. Cotton is the reference implementation.</w:t>
      </w:r>
    </w:p>
    <w:p>
      <w:pPr>
        <w:pStyle w:val="Heading1"/>
      </w:pPr>
      <w:r>
        <w:t xml:space="preserve">12. Cotton Intelligence Model</w:t>
      </w:r>
    </w:p>
    <w:p>
      <w:pPr>
        <w:spacing w:after="120" w:before="0" w:line="276"/>
      </w:pPr>
      <w:r>
        <w:t xml:space="preserve">Signals: arrivals, futures curve, MSP, CCI procurement, mill demand, exports, weather, acreage, global inventories. Outputs: 30/60/90-day outlooks with confidence bands.</w:t>
      </w:r>
    </w:p>
    <w:p>
      <w:pPr>
        <w:pStyle w:val="Heading1"/>
      </w:pPr>
      <w:r>
        <w:t xml:space="preserve">13. Forecasting Philosophy</w:t>
      </w:r>
    </w:p>
    <w:p>
      <w:pPr>
        <w:spacing w:after="120" w:before="0" w:line="276"/>
      </w:pPr>
      <w:r>
        <w:t xml:space="preserve">The objective is not maximum accuracy; it is economically useful recommendations. Evaluation: directional accuracy, calibration, stability, and decision value added.</w:t>
      </w:r>
    </w:p>
    <w:p>
      <w:pPr>
        <w:spacing w:after="120" w:before="0" w:line="276"/>
      </w:pPr>
      <w:r>
        <w:rPr>
          <w:b/>
          <w:bCs/>
        </w:rPr>
        <w:t xml:space="preserve">Benchmark: hold-to-futures-curve.</w:t>
      </w:r>
    </w:p>
    <w:p>
      <w:pPr>
        <w:spacing w:after="60"/>
      </w:pPr>
      <w:r>
        <w:rPr>
          <w:b/>
          <w:bCs/>
          <w:color w:val="B45309"/>
          <w:sz w:val="18"/>
          <w:szCs w:val="18"/>
        </w:rPr>
        <w:t xml:space="preserve">v5 — </w:t>
      </w:r>
      <w:r>
        <w:rPr>
          <w:i/>
          <w:iCs/>
          <w:color w:val="B45309"/>
          <w:sz w:val="18"/>
          <w:szCs w:val="18"/>
        </w:rPr>
        <w:t xml:space="preserve">There is no abstract “minimum useful accuracy.” The bar is the §17 backtest: does following the call beat both sell-at-harvest and hold-to-curve, net of carry? A low-accuracy model that beats the curve after costs is useful; a high-accuracy one that does not, is not. Decision value added is the primary metric; accuracy is secondary.</w:t>
      </w:r>
    </w:p>
    <w:p>
      <w:pPr>
        <w:pStyle w:val="Heading1"/>
      </w:pPr>
      <w:r>
        <w:t xml:space="preserve">14. Trust Framework</w:t>
      </w:r>
    </w:p>
    <w:p>
      <w:pPr>
        <w:spacing w:after="120" w:before="0" w:line="276"/>
      </w:pPr>
      <w:r>
        <w:t xml:space="preserve">Trust components: calibration, stability, data quality, transparency, outcome tracking. Every recommendation explains: Why? What could go wrong? Which assumptions matter?</w:t>
      </w:r>
    </w:p>
    <w:p>
      <w:pPr>
        <w:pStyle w:val="Heading1"/>
      </w:pPr>
      <w:r>
        <w:t xml:space="preserve">15. Data Model</w:t>
      </w:r>
    </w:p>
    <w:p>
      <w:pPr>
        <w:spacing w:after="120" w:before="0" w:line="276"/>
      </w:pPr>
      <w:r>
        <w:t xml:space="preserve">Core entities: Commodity, Region, Price, Arrival, Forecast, Recommendation, User Context, Decision Session, Outcome. Future entities: Inventory, Warehouse, Financing, Marketplace Transaction.</w:t>
      </w:r>
    </w:p>
    <w:p>
      <w:pPr>
        <w:pStyle w:val="Heading1"/>
      </w:pPr>
      <w:r>
        <w:t xml:space="preserve">16. Technical Architecture</w:t>
      </w:r>
    </w:p>
    <w:p>
      <w:pPr>
        <w:spacing w:after="120" w:before="0" w:line="276"/>
      </w:pPr>
      <w:r>
        <w:t xml:space="preserve">Layers: Data Ingestion → Feature Store → Commodity Registry → Agent Orchestration → Forecast Engine → Explainability Layer → Decision Engine → APIs → Dashboards. Architecture must remain commodity-configurable.</w:t>
      </w:r>
    </w:p>
    <w:p>
      <w:pPr>
        <w:spacing w:after="60"/>
      </w:pPr>
      <w:r>
        <w:rPr>
          <w:b/>
          <w:bCs/>
          <w:color w:val="B45309"/>
          <w:sz w:val="18"/>
          <w:szCs w:val="18"/>
        </w:rPr>
        <w:t xml:space="preserve">v5 — </w:t>
      </w:r>
      <w:r>
        <w:rPr>
          <w:i/>
          <w:iCs/>
          <w:color w:val="B45309"/>
          <w:sz w:val="18"/>
          <w:szCs w:val="18"/>
        </w:rPr>
        <w:t xml:space="preserve">Agents exchange structured signals; the deterministic core (forecast + decision math) is isolated from the LLM explanation layer so the system stays reproducible. Market Intelligence is precomputed per refresh (see §9).</w:t>
      </w:r>
    </w:p>
    <w:p>
      <w:pPr>
        <w:pStyle w:val="Heading1"/>
      </w:pPr>
      <w:r>
        <w:t xml:space="preserve">17. Validation Framework</w:t>
      </w:r>
    </w:p>
    <w:p>
      <w:pPr>
        <w:spacing w:after="120" w:before="0" w:line="276"/>
      </w:pPr>
      <w:r>
        <w:t xml:space="preserve">Backtests compare three strategies: (1) sell immediately, (2) hold to futures curve, (3) KrishiNetra recommendation — measured on net value added after carry. Recommendations are promoted only if KrishiNetra consistently adds value.</w:t>
      </w:r>
    </w:p>
    <w:p>
      <w:pPr>
        <w:spacing w:after="120" w:before="0" w:line="276"/>
      </w:pPr>
      <w:r>
        <w:rPr>
          <w:i/>
          <w:iCs/>
          <w:color w:val="555555"/>
        </w:rPr>
        <w:t xml:space="preserve">This is why the decision path must be deterministic: the backtest is only trustworthy if the system would have produced the same recommendation given the same data-as-of-date.</w:t>
      </w:r>
    </w:p>
    <w:p>
      <w:pPr>
        <w:pStyle w:val="Heading1"/>
      </w:pPr>
      <w:r>
        <w:t xml:space="preserve">18. Proprietary Data Flywheel</w:t>
      </w:r>
    </w:p>
    <w:p>
      <w:pPr>
        <w:spacing w:after="120" w:before="0" w:line="276"/>
      </w:pPr>
      <w:r>
        <w:t xml:space="preserve">User enters context → system generates recommendation → outcome is captured → calibration improves → trust improves → usage grows. This creates a proprietary dataset unavailable publicly, and it begins in Phase 1.</w:t>
      </w:r>
    </w:p>
    <w:p>
      <w:pPr>
        <w:pStyle w:val="Heading1"/>
      </w:pPr>
      <w:r>
        <w:t xml:space="preserve">19. Monetization</w:t>
      </w:r>
    </w:p>
    <w:p>
      <w:pPr>
        <w:pStyle w:val="ListParagraph"/>
        <w:numPr>
          <w:ilvl w:val="0"/>
          <w:numId w:val="2"/>
        </w:numPr>
        <w:spacing w:after="80" w:line="276"/>
      </w:pPr>
      <w:r>
        <w:rPr>
          <w:b/>
          <w:bCs/>
        </w:rPr>
        <w:t xml:space="preserve">Farmers: </w:t>
      </w:r>
      <w:r>
        <w:t xml:space="preserve">free.</w:t>
      </w:r>
    </w:p>
    <w:p>
      <w:pPr>
        <w:pStyle w:val="ListParagraph"/>
        <w:numPr>
          <w:ilvl w:val="0"/>
          <w:numId w:val="2"/>
        </w:numPr>
        <w:spacing w:after="80" w:line="276"/>
      </w:pPr>
      <w:r>
        <w:rPr>
          <w:b/>
          <w:bCs/>
        </w:rPr>
        <w:t xml:space="preserve">Traders: </w:t>
      </w:r>
      <w:r>
        <w:t xml:space="preserve">initially free; later, subscription for advanced intelligence.</w:t>
      </w:r>
    </w:p>
    <w:p>
      <w:pPr>
        <w:pStyle w:val="ListParagraph"/>
        <w:numPr>
          <w:ilvl w:val="0"/>
          <w:numId w:val="2"/>
        </w:numPr>
        <w:spacing w:after="80" w:line="276"/>
      </w:pPr>
      <w:r>
        <w:rPr>
          <w:b/>
          <w:bCs/>
        </w:rPr>
        <w:t xml:space="preserve">Future: </w:t>
      </w:r>
      <w:r>
        <w:t xml:space="preserve">enterprise intelligence, warehouse partnerships, financing partnerships, marketplace services.</w:t>
      </w:r>
    </w:p>
    <w:p>
      <w:pPr>
        <w:pStyle w:val="Heading1"/>
      </w:pPr>
      <w:r>
        <w:t xml:space="preserve">20. Roadmap</w:t>
      </w:r>
    </w:p>
    <w:p>
      <w:pPr>
        <w:pStyle w:val="ListParagraph"/>
        <w:numPr>
          <w:ilvl w:val="0"/>
          <w:numId w:val="2"/>
        </w:numPr>
        <w:spacing w:after="80" w:line="276"/>
      </w:pPr>
      <w:r>
        <w:rPr>
          <w:b/>
          <w:bCs/>
        </w:rPr>
        <w:t xml:space="preserve">Phase 1: </w:t>
      </w:r>
      <w:r>
        <w:t xml:space="preserve">Cotton intelligence + decision engine.</w:t>
      </w:r>
    </w:p>
    <w:p>
      <w:pPr>
        <w:pStyle w:val="ListParagraph"/>
        <w:numPr>
          <w:ilvl w:val="0"/>
          <w:numId w:val="2"/>
        </w:numPr>
        <w:spacing w:after="80" w:line="276"/>
      </w:pPr>
      <w:r>
        <w:rPr>
          <w:b/>
          <w:bCs/>
        </w:rPr>
        <w:t xml:space="preserve">Phase 2: </w:t>
      </w:r>
      <w:r>
        <w:t xml:space="preserve">Personalization and inventory registration.</w:t>
      </w:r>
    </w:p>
    <w:p>
      <w:pPr>
        <w:pStyle w:val="ListParagraph"/>
        <w:numPr>
          <w:ilvl w:val="0"/>
          <w:numId w:val="2"/>
        </w:numPr>
        <w:spacing w:after="80" w:line="276"/>
      </w:pPr>
      <w:r>
        <w:rPr>
          <w:b/>
          <w:bCs/>
        </w:rPr>
        <w:t xml:space="preserve">Phase 3: </w:t>
      </w:r>
      <w:r>
        <w:t xml:space="preserve">Behavioral learning and intent capture.</w:t>
      </w:r>
    </w:p>
    <w:p>
      <w:pPr>
        <w:pStyle w:val="ListParagraph"/>
        <w:numPr>
          <w:ilvl w:val="0"/>
          <w:numId w:val="2"/>
        </w:numPr>
        <w:spacing w:after="80" w:line="276"/>
      </w:pPr>
      <w:r>
        <w:rPr>
          <w:b/>
          <w:bCs/>
        </w:rPr>
        <w:t xml:space="preserve">Phase 4: </w:t>
      </w:r>
      <w:r>
        <w:t xml:space="preserve">Warehouse integration.</w:t>
      </w:r>
    </w:p>
    <w:p>
      <w:pPr>
        <w:pStyle w:val="ListParagraph"/>
        <w:numPr>
          <w:ilvl w:val="0"/>
          <w:numId w:val="2"/>
        </w:numPr>
        <w:spacing w:after="80" w:line="276"/>
      </w:pPr>
      <w:r>
        <w:rPr>
          <w:b/>
          <w:bCs/>
        </w:rPr>
        <w:t xml:space="preserve">Phase 5: </w:t>
      </w:r>
      <w:r>
        <w:t xml:space="preserve">Financing.</w:t>
      </w:r>
    </w:p>
    <w:p>
      <w:pPr>
        <w:pStyle w:val="ListParagraph"/>
        <w:numPr>
          <w:ilvl w:val="0"/>
          <w:numId w:val="2"/>
        </w:numPr>
        <w:spacing w:after="80" w:line="276"/>
      </w:pPr>
      <w:r>
        <w:rPr>
          <w:b/>
          <w:bCs/>
        </w:rPr>
        <w:t xml:space="preserve">Phase 6: </w:t>
      </w:r>
      <w:r>
        <w:t xml:space="preserve">Marketplace.</w:t>
      </w:r>
    </w:p>
    <w:p>
      <w:pPr>
        <w:pStyle w:val="ListParagraph"/>
        <w:numPr>
          <w:ilvl w:val="0"/>
          <w:numId w:val="2"/>
        </w:numPr>
        <w:spacing w:after="80" w:line="276"/>
      </w:pPr>
      <w:r>
        <w:rPr>
          <w:b/>
          <w:bCs/>
        </w:rPr>
        <w:t xml:space="preserve">Phase 7: </w:t>
      </w:r>
      <w:r>
        <w:t xml:space="preserve">Additional commodities.</w:t>
      </w:r>
    </w:p>
    <w:p>
      <w:pPr>
        <w:spacing w:after="60"/>
      </w:pPr>
      <w:r>
        <w:rPr>
          <w:b/>
          <w:bCs/>
          <w:color w:val="B45309"/>
          <w:sz w:val="18"/>
          <w:szCs w:val="18"/>
        </w:rPr>
        <w:t xml:space="preserve">v5 — </w:t>
      </w:r>
      <w:r>
        <w:rPr>
          <w:i/>
          <w:iCs/>
          <w:color w:val="B45309"/>
          <w:sz w:val="18"/>
          <w:szCs w:val="18"/>
        </w:rPr>
        <w:t xml:space="preserve">Next-commodity selection is by structure, not affinity: storable + liquid futures + a price-floor mechanism. Maize, soybean, or turmeric (NCDEX) fit; mirchi is the tempting-but-wrong choice (no liquid futures, perishable-ish, quality-driven) and would force the hardest version of the problem first.</w:t>
      </w:r>
    </w:p>
    <w:p>
      <w:pPr>
        <w:pStyle w:val="Heading1"/>
      </w:pPr>
      <w:r>
        <w:t xml:space="preserve">21. Risks</w:t>
      </w:r>
    </w:p>
    <w:p>
      <w:pPr>
        <w:pStyle w:val="ListParagraph"/>
        <w:numPr>
          <w:ilvl w:val="0"/>
          <w:numId w:val="2"/>
        </w:numPr>
        <w:spacing w:after="80" w:line="276"/>
      </w:pPr>
      <w:r>
        <w:rPr>
          <w:b/>
          <w:bCs/>
        </w:rPr>
        <w:t xml:space="preserve">Forecast fails to beat the curve: </w:t>
      </w:r>
      <w:r>
        <w:t xml:space="preserve">the core value evaporates. Mitigated by making the curve the explicit bar before building UX.</w:t>
      </w:r>
    </w:p>
    <w:p>
      <w:pPr>
        <w:pStyle w:val="ListParagraph"/>
        <w:numPr>
          <w:ilvl w:val="0"/>
          <w:numId w:val="2"/>
        </w:numPr>
        <w:spacing w:after="80" w:line="276"/>
      </w:pPr>
      <w:r>
        <w:rPr>
          <w:b/>
          <w:bCs/>
        </w:rPr>
        <w:t xml:space="preserve">Liquidity dominates behavior: </w:t>
      </w:r>
      <w:r>
        <w:t xml:space="preserve">even correct holds are unactionable for cash-constrained farmers. Mitigated by net-of-carry framing and partial-sell defaults.</w:t>
      </w:r>
    </w:p>
    <w:p>
      <w:pPr>
        <w:pStyle w:val="ListParagraph"/>
        <w:numPr>
          <w:ilvl w:val="0"/>
          <w:numId w:val="2"/>
        </w:numPr>
        <w:spacing w:after="80" w:line="276"/>
      </w:pPr>
      <w:r>
        <w:rPr>
          <w:b/>
          <w:bCs/>
        </w:rPr>
        <w:t xml:space="preserve">Trust loss after a bad call: </w:t>
      </w:r>
      <w:r>
        <w:t xml:space="preserve">one ruinous wrong hold can end adoption locally. Mitigated by calibration, stability, conservative defaults.</w:t>
      </w:r>
    </w:p>
    <w:p>
      <w:pPr>
        <w:pStyle w:val="ListParagraph"/>
        <w:numPr>
          <w:ilvl w:val="0"/>
          <w:numId w:val="2"/>
        </w:numPr>
        <w:spacing w:after="80" w:line="276"/>
      </w:pPr>
      <w:r>
        <w:rPr>
          <w:b/>
          <w:bCs/>
        </w:rPr>
        <w:t xml:space="preserve">Data quality: </w:t>
      </w:r>
      <w:r>
        <w:t xml:space="preserve">Agmarknet lag and gaps cap accuracy. Mitigated by basis modeling and the futures feed.</w:t>
      </w:r>
    </w:p>
    <w:p>
      <w:pPr>
        <w:pStyle w:val="ListParagraph"/>
        <w:numPr>
          <w:ilvl w:val="0"/>
          <w:numId w:val="2"/>
        </w:numPr>
        <w:spacing w:after="80" w:line="276"/>
      </w:pPr>
      <w:r>
        <w:rPr>
          <w:b/>
          <w:bCs/>
        </w:rPr>
        <w:t xml:space="preserve">Regulatory: </w:t>
      </w:r>
      <w:r>
        <w:t xml:space="preserve">sell/hold guidance must not drift into registrable investment advice; financing steps touch NBFC/RBI. Needs legal review.</w:t>
      </w:r>
    </w:p>
    <w:p>
      <w:pPr>
        <w:pStyle w:val="ListParagraph"/>
        <w:numPr>
          <w:ilvl w:val="0"/>
          <w:numId w:val="2"/>
        </w:numPr>
        <w:spacing w:after="80" w:line="276"/>
      </w:pPr>
      <w:r>
        <w:rPr>
          <w:b/>
          <w:bCs/>
          <w:color w:val="B45309"/>
        </w:rPr>
        <w:t xml:space="preserve">Agentic complexity: </w:t>
      </w:r>
      <w:r>
        <w:t xml:space="preserve">an eight-agent system can become non-reproducible and expensive. Mitigated by Decision 6 (deterministic core), structured signal contracts, and central precompute.</w:t>
      </w:r>
    </w:p>
    <w:p>
      <w:pPr>
        <w:pStyle w:val="Heading1"/>
      </w:pPr>
      <w:r>
        <w:t xml:space="preserve">22. Open Questions</w:t>
      </w:r>
    </w:p>
    <w:p>
      <w:pPr>
        <w:pStyle w:val="Heading2"/>
      </w:pPr>
      <w:r>
        <w:t xml:space="preserve">Resolved in v5</w:t>
      </w:r>
    </w:p>
    <w:p>
      <w:pPr>
        <w:pStyle w:val="ListParagraph"/>
        <w:numPr>
          <w:ilvl w:val="0"/>
          <w:numId w:val="2"/>
        </w:numPr>
        <w:spacing w:after="80" w:line="276"/>
      </w:pPr>
      <w:r>
        <w:rPr>
          <w:b/>
          <w:bCs/>
        </w:rPr>
        <w:t xml:space="preserve">Moved into the spec: </w:t>
      </w:r>
      <w:r>
        <w:t xml:space="preserve">minimum useful accuracy (§13), update frequency (below), and next commodity (§20).</w:t>
      </w:r>
    </w:p>
    <w:p>
      <w:pPr>
        <w:pStyle w:val="Heading2"/>
      </w:pPr>
      <w:r>
        <w:t xml:space="preserve">Still open</w:t>
      </w:r>
    </w:p>
    <w:p>
      <w:pPr>
        <w:pStyle w:val="ListParagraph"/>
        <w:numPr>
          <w:ilvl w:val="0"/>
          <w:numId w:val="2"/>
        </w:numPr>
        <w:spacing w:after="80" w:line="276"/>
      </w:pPr>
      <w:r>
        <w:rPr>
          <w:b/>
          <w:bCs/>
        </w:rPr>
        <w:t xml:space="preserve">How often should recommendations update? </w:t>
      </w:r>
      <w:r>
        <w:t xml:space="preserve">daily data cadence, but changes gated through the stability constraint so a call only flips on material signal movement, not noise. (Working answer; needs field testing.)</w:t>
      </w:r>
    </w:p>
    <w:p>
      <w:pPr>
        <w:pStyle w:val="ListParagraph"/>
        <w:numPr>
          <w:ilvl w:val="0"/>
          <w:numId w:val="2"/>
        </w:numPr>
        <w:spacing w:after="80" w:line="276"/>
      </w:pPr>
      <w:r>
        <w:rPr>
          <w:b/>
          <w:bCs/>
        </w:rPr>
        <w:t xml:space="preserve">How should trust scores be displayed? </w:t>
      </w:r>
      <w:r>
        <w:t xml:space="preserve">a single calibrated confidence plus a short “what could go wrong,” or a richer breakdown? Affects trust and over-reliance.</w:t>
      </w:r>
    </w:p>
    <w:p>
      <w:pPr>
        <w:pStyle w:val="ListParagraph"/>
        <w:numPr>
          <w:ilvl w:val="0"/>
          <w:numId w:val="2"/>
        </w:numPr>
        <w:spacing w:after="80" w:line="276"/>
      </w:pPr>
      <w:r>
        <w:rPr>
          <w:b/>
          <w:bCs/>
        </w:rPr>
        <w:t xml:space="preserve">When should financing be introduced? </w:t>
      </w:r>
      <w:r>
        <w:t xml:space="preserve">after cotton value is proven and inventory registration exists — but the exact trigger is unresolved.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Arial" w:cs="Arial" w:eastAsia="Arial" w:hAnsi="Arial"/>
      <w:b/>
      <w:bCs/>
      <w:color w:val="2E5E3A"/>
      <w:sz w:val="26"/>
      <w:szCs w:val="26"/>
    </w:rPr>
  </w:style>
  <w:style w:type="paragraph" w:styleId="Heading2">
    <w:name w:val="Heading 2"/>
    <w:basedOn w:val="Normal"/>
    <w:next w:val="Normal"/>
    <w:qFormat/>
    <w:pPr>
      <w:spacing w:after="70" w:before="140"/>
      <w:outlineLvl w:val="1"/>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2026-06-02T11:57:19.750Z</dcterms:created>
  <dcterms:modified xsi:type="dcterms:W3CDTF">2026-06-02T11:57:19.765Z</dcterms:modified>
</cp:coreProperties>
</file>

<file path=docProps/custom.xml><?xml version="1.0" encoding="utf-8"?>
<Properties xmlns="http://schemas.openxmlformats.org/officeDocument/2006/custom-properties" xmlns:vt="http://schemas.openxmlformats.org/officeDocument/2006/docPropsVTypes"/>
</file>