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1C7293"/>
          <w:sz w:val="20"/>
          <w:szCs w:val="20"/>
        </w:rPr>
        <w:t xml:space="preserve">EXERCISE 2 — TASK 2a</w:t>
      </w:r>
    </w:p>
    <w:p>
      <w:pPr>
        <w:spacing w:after="80"/>
      </w:pPr>
      <w:r>
        <w:rPr>
          <w:b/>
          <w:bCs/>
          <w:color w:val="1E2761"/>
          <w:sz w:val="40"/>
          <w:szCs w:val="40"/>
        </w:rPr>
        <w:t xml:space="preserve">OLAP Cube Design &amp; Operations</w:t>
      </w:r>
    </w:p>
    <w:p>
      <w:pPr>
        <w:spacing w:after="140"/>
      </w:pPr>
      <w:r>
        <w:rPr>
          <w:i/>
          <w:iCs/>
          <w:color w:val="5B6B8C"/>
          <w:sz w:val="20"/>
          <w:szCs w:val="20"/>
        </w:rPr>
        <w:t xml:space="preserve">Credit Card Fraud Detection dataset — built on the Exercise 1 cleaned dataset (creditcard_cleaned.csv, 283,726 transactions, 35 columns).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1. Cube Design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Fact Table — Measures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Transaction_Count — number of transactions (the base count measure for every cell in the cube)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Total_Amount — sum of transaction dollar amounts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Avg_Amount — mean transaction dollar 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Fraud_Count — count of transactions where Class = 1 (fraud)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Fraud_Rate_% — Fraud_Count ÷ Transaction_Count × 100 (derived measure, ties directly to the Exercise 1 KPI table)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Dimensions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of Day — with a 2-level hierarchy: Period of Day (Night 00-05, Morning 06-11, Afternoon 12-17, Evening 18-23) → Hour (0-23). Built entirely from the existing Hour_of_Day column created in Exercise 1. Note: the raw Time column (seconds elapsed since the first transaction) was deliberately excluded from the cube — it is effectively a row-order serial number rather than a meaningful business attribute, and every usable signal it carries (time of day) is already captured by Hour_of_Day / Period of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Class — Legitimate / Fraud (the Class_Label column from Exercise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Amount Range — Small (&lt;$10), Medium ($10-$100), Large ($100-$1,000), Very Large (&gt;$1,000); a new categorical dimension derived from Amount.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Amount Outlier (optional 4th dimension) — True/False flag, reused directly from the Exercise 1 Amount_Outlier column.</w:t>
      </w:r>
    </w:p>
    <w:p>
      <w:pPr>
        <w:spacing w:after="140"/>
      </w:pPr>
      <w:r>
        <w:t xml:space="preserve">The Time of Day hierarchy (Period of Day → Hour) is the one used for drill-down/roll-up in Section 5, and for the drill-down interaction built into the Task 2b dashboard.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2. Building the Cube</w:t>
      </w:r>
    </w:p>
    <w:p>
      <w:pPr>
        <w:spacing w:after="140"/>
      </w:pPr>
      <w:r>
        <w:t xml:space="preserve">The cube was built in pandas using groupby/pivot_table, cross-tabulating Period of Day (rows) against Amount Range (columns), with Transaction_Count as the measure — satisfying the ≥2 dimensions × ≥1 measure requirement. The full cube (all dimension combinations × all measures) was also exported as cube_full.csv for reference.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725"/>
        <w:gridCol w:w="1725"/>
        <w:gridCol w:w="1725"/>
        <w:gridCol w:w="1725"/>
      </w:tblGrid>
      <w:tr>
        <w:tc>
          <w:tcPr>
            <w:tcW w:type="dxa" w:w="245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 of Day</w:t>
            </w:r>
          </w:p>
        </w:tc>
        <w:tc>
          <w:tcPr>
            <w:tcW w:type="dxa" w:w="172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Small (&lt;$10)</w:t>
            </w:r>
          </w:p>
        </w:tc>
        <w:tc>
          <w:tcPr>
            <w:tcW w:type="dxa" w:w="172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Medium ($10-$100)</w:t>
            </w:r>
          </w:p>
        </w:tc>
        <w:tc>
          <w:tcPr>
            <w:tcW w:type="dxa" w:w="172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Large ($100-$1,000)</w:t>
            </w:r>
          </w:p>
        </w:tc>
        <w:tc>
          <w:tcPr>
            <w:tcW w:type="dxa" w:w="172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Very Large (&gt;$1,000)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8,857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11,746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3,109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245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21,515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33,481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14,749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898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Afternoon (12-17)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30,009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43,773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21,049</w:t>
            </w:r>
          </w:p>
        </w:tc>
        <w:tc>
          <w:tcPr>
            <w:tcW w:type="dxa" w:w="17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1,290</w:t>
            </w:r>
          </w:p>
        </w:tc>
      </w:tr>
      <w:tr>
        <w:tc>
          <w:tcPr>
            <w:tcW w:type="dxa" w:w="245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Evening (18-23)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36,492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40,577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15,305</w:t>
            </w:r>
          </w:p>
        </w:tc>
        <w:tc>
          <w:tcPr>
            <w:tcW w:type="dxa" w:w="172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746</w:t>
            </w:r>
          </w:p>
        </w:tc>
      </w:tr>
    </w:tbl>
    <w:p>
      <w:pPr>
        <w:spacing w:after="140"/>
      </w:pPr>
      <w:r>
        <w:rPr>
          <w:i/>
          <w:iCs/>
          <w:color w:val="6E7899"/>
          <w:sz w:val="18"/>
          <w:szCs w:val="18"/>
        </w:rPr>
        <w:t xml:space="preserve">Cube cross-tab: Transaction Count by Period of Day × Amount Range.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3. OLAP Operation: SLICE</w:t>
      </w:r>
    </w:p>
    <w:p>
      <w:pPr>
        <w:spacing w:after="140"/>
      </w:pPr>
      <w:r>
        <w:t xml:space="preserve">Business question: "Restricting to fraud only, how are cases distributed across time-of-day and amount range?" — a single dimension (Class_Label = 'Fraud') is fixed, leaving a 2-D cross-tab of the remaining two dimensions.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675"/>
        <w:gridCol w:w="1675"/>
        <w:gridCol w:w="1675"/>
        <w:gridCol w:w="1675"/>
      </w:tblGrid>
      <w:tr>
        <w:tc>
          <w:tcPr>
            <w:tcW w:type="dxa" w:w="265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 of Day (Fraud only)</w:t>
            </w:r>
          </w:p>
        </w:tc>
        <w:tc>
          <w:tcPr>
            <w:tcW w:type="dxa" w:w="167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Small (&lt;$10)</w:t>
            </w:r>
          </w:p>
        </w:tc>
        <w:tc>
          <w:tcPr>
            <w:tcW w:type="dxa" w:w="167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Medium ($10-$100)</w:t>
            </w:r>
          </w:p>
        </w:tc>
        <w:tc>
          <w:tcPr>
            <w:tcW w:type="dxa" w:w="167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Large ($100-$1,000)</w:t>
            </w:r>
          </w:p>
        </w:tc>
        <w:tc>
          <w:tcPr>
            <w:tcW w:type="dxa" w:w="1675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Very Large (&gt;$1,000)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77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18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18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5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39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51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27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Afternoon (12-17)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72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18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5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Evening (18-23)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50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23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31</w:t>
            </w:r>
          </w:p>
        </w:tc>
        <w:tc>
          <w:tcPr>
            <w:tcW w:type="dxa" w:w="1675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</w:t>
            </w:r>
          </w:p>
        </w:tc>
      </w:tr>
    </w:tbl>
    <w:p>
      <w:pPr>
        <w:spacing w:after="140"/>
      </w:pPr>
      <w:r>
        <w:rPr>
          <w:i/>
          <w:iCs/>
          <w:color w:val="6E7899"/>
          <w:sz w:val="18"/>
          <w:szCs w:val="18"/>
        </w:rPr>
        <w:t xml:space="preserve">Fraud counts by Period of Day × Amount Range (slice on Class_Label = 'Fraud').</w:t>
      </w:r>
    </w:p>
    <w:p>
      <w:pPr>
        <w:spacing w:after="140"/>
      </w:pPr>
      <w:r>
        <w:t xml:space="preserve">Interpretation: fraud is not evenly spread across the day or across amount bands. Night (00-05) and Afternoon (12-17) both show a heavy skew toward small-amount fraud (77 and 72 cases respectively), while Morning (06-11) stands out with the highest Medium-amount fraud count (51) of any period. This tells the risk team that both the time window AND the amount band shift which fraud pattern to expect, so a single flat threshold across the day would miss one pattern while over-triggering on the other.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4. OLAP Operation: DICE</w:t>
      </w:r>
    </w:p>
    <w:p>
      <w:pPr>
        <w:spacing w:after="140"/>
      </w:pPr>
      <w:r>
        <w:t xml:space="preserve">Business question: "Across all times of day, how do the highest-value fraud cases (Large: $100-$1,000) behave?" — two dimensions are filtered simultaneously (Class_Label = 'Fraud' AND Amount_Range = 'Large ($100-$1,000)'), producing a smaller sub-cube of 116 transactions.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76"/>
        <w:gridCol w:w="2077"/>
        <w:gridCol w:w="2077"/>
      </w:tblGrid>
      <w:tr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 of Day</w:t>
            </w:r>
          </w:p>
        </w:tc>
        <w:tc>
          <w:tcPr>
            <w:tcW w:type="dxa" w:w="2076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Txn Count</w:t>
            </w:r>
          </w:p>
        </w:tc>
        <w:tc>
          <w:tcPr>
            <w:tcW w:type="dxa" w:w="2077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$</w:t>
            </w:r>
          </w:p>
        </w:tc>
        <w:tc>
          <w:tcPr>
            <w:tcW w:type="dxa" w:w="2077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$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20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18</w:t>
            </w:r>
          </w:p>
        </w:tc>
        <w:tc>
          <w:tcPr>
            <w:tcW w:type="dxa" w:w="20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$6,154.65</w:t>
            </w:r>
          </w:p>
        </w:tc>
        <w:tc>
          <w:tcPr>
            <w:tcW w:type="dxa" w:w="20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$341.92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2076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27</w:t>
            </w:r>
          </w:p>
        </w:tc>
        <w:tc>
          <w:tcPr>
            <w:tcW w:type="dxa" w:w="2077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$8,666.32</w:t>
            </w:r>
          </w:p>
        </w:tc>
        <w:tc>
          <w:tcPr>
            <w:tcW w:type="dxa" w:w="2077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$320.97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Afternoon (12-17)</w:t>
            </w:r>
          </w:p>
        </w:tc>
        <w:tc>
          <w:tcPr>
            <w:tcW w:type="dxa" w:w="20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40</w:t>
            </w:r>
          </w:p>
        </w:tc>
        <w:tc>
          <w:tcPr>
            <w:tcW w:type="dxa" w:w="20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$14,049.65</w:t>
            </w:r>
          </w:p>
        </w:tc>
        <w:tc>
          <w:tcPr>
            <w:tcW w:type="dxa" w:w="20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$351.24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Evening (18-23)</w:t>
            </w:r>
          </w:p>
        </w:tc>
        <w:tc>
          <w:tcPr>
            <w:tcW w:type="dxa" w:w="2076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31</w:t>
            </w:r>
          </w:p>
        </w:tc>
        <w:tc>
          <w:tcPr>
            <w:tcW w:type="dxa" w:w="2077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$9,626.98</w:t>
            </w:r>
          </w:p>
        </w:tc>
        <w:tc>
          <w:tcPr>
            <w:tcW w:type="dxa" w:w="2077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$310.55</w:t>
            </w:r>
          </w:p>
        </w:tc>
      </w:tr>
    </w:tbl>
    <w:p>
      <w:pPr>
        <w:spacing w:after="140"/>
      </w:pPr>
      <w:r>
        <w:rPr>
          <w:i/>
          <w:iCs/>
          <w:color w:val="6E7899"/>
          <w:sz w:val="18"/>
          <w:szCs w:val="18"/>
        </w:rPr>
        <w:t xml:space="preserve">Dice sub-cube: Fraud + Large amount range, by Period of Day.</w:t>
      </w:r>
    </w:p>
    <w:p>
      <w:pPr>
        <w:spacing w:after="140"/>
      </w:pPr>
      <w:r>
        <w:t xml:space="preserve">Interpretation: Large-amount fraud is not evenly spread across the day either — Afternoon (12-17) stands out with both the highest count (40 cases, more than double Night's 18) and the highest total dollar exposure ($14,049.65), making it the single riskiest window in this sub-cube. This is exactly the kind of sub-cube the review team could pull on demand to check whether extra staffing or a tighter threshold during Afternoon hours is paying off.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5. Bonus — Drill-Down &amp; Roll-Up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Roll-up: fraud counts aggregated up the Time of Day hierarchy from Hour → Period of Day.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10"/>
      </w:tblGrid>
      <w:tr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 of Day</w:t>
            </w:r>
          </w:p>
        </w:tc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Fraud Count</w:t>
            </w:r>
          </w:p>
        </w:tc>
        <w:tc>
          <w:tcPr>
            <w:tcW w:type="dxa" w:w="311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Transaction Count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115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118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118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Afternoon (12-17)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133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133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Evening (18-23)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107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107</w:t>
            </w:r>
          </w:p>
        </w:tc>
      </w:tr>
    </w:tbl>
    <w:p>
      <w:pPr>
        <w:spacing w:after="140"/>
      </w:pPr>
      <w:r>
        <w:t xml:space="preserve">Drill-down: expanding Night's fraud count back down from Period of Day to the Hour level shows the pattern is far from smooth even within that single period — it spikes sharply at 2:00 (48 cases) versus single digits at most other Night hours, a pattern the Period-of-Day view alone would blur together. Morning shows a similar spike at 11:00 (53 cases). Full hour-by-hour breakdown: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10"/>
      </w:tblGrid>
      <w:tr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 of Day</w:t>
            </w:r>
          </w:p>
        </w:tc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311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Fraud Count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0:00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3:00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4:00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Night (00-05)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5:00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6:00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7:00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8:00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9:00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10:00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Morning (06-11)</w:t>
            </w:r>
          </w:p>
        </w:tc>
        <w:tc>
          <w:tcPr>
            <w:tcW w:type="dxa" w:w="312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11:00</w:t>
            </w:r>
          </w:p>
        </w:tc>
        <w:tc>
          <w:tcPr>
            <w:tcW w:type="dxa" w:w="3110"/>
            <w:shd w:fill="F1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1F3B"/>
                <w:sz w:val="19"/>
                <w:szCs w:val="19"/>
              </w:rPr>
              <w:t xml:space="preserve">53</w:t>
            </w:r>
          </w:p>
        </w:tc>
      </w:tr>
    </w:tbl>
    <w:p>
      <w:pPr>
        <w:spacing w:after="140"/>
      </w:pPr>
      <w:r>
        <w:rPr>
          <w:i/>
          <w:iCs/>
          <w:color w:val="6E7899"/>
          <w:sz w:val="18"/>
          <w:szCs w:val="18"/>
        </w:rPr>
        <w:t xml:space="preserve">Night (00-05) and Morning (06-11) hour-level detail; Afternoon and Evening follow the same pattern and are included in full in drilldown_no_time.csv.</w:t>
      </w:r>
    </w:p>
    <w:p>
      <w:pPr>
        <w:pStyle w:val="Heading1"/>
        <w:spacing w:after="120" w:before="240"/>
      </w:pPr>
      <w:r>
        <w:rPr>
          <w:b/>
          <w:bCs/>
          <w:color w:val="1E2761"/>
        </w:rPr>
        <w:t xml:space="preserve">6. Tool Note</w:t>
      </w:r>
    </w:p>
    <w:p>
      <w:pPr>
        <w:spacing w:after="140"/>
      </w:pPr>
      <w:r>
        <w:t xml:space="preserve">The cube, slice, and dice operations above were built in Python/pandas (pivot_table and groupby) rather than Excel, since Exercise 1's cleaning pipeline was already in pandas — consistent with the assignment's guidance that switching tools between steps just needs to be noted, not avoided. Task 2b's dashboard (separate file) was built as a standalone interactive HTML/JavaScript application rather than natively in Tableau or Power BI, because neither desktop application is installable in this text-based environment; it implements the same required elements (multiple chart types, 2 Exercise 1 KPIs visualized directly, 2+ interactive filters affecting all charts, and hierarchy drill-down) and can be opened directly in any browser, or used as a reference to rebuild the same design in Tableau/Power BI Desktop.</w:t>
      </w:r>
    </w:p>
    <w:p>
      <w:pPr>
        <w:spacing w:after="140"/>
      </w:pPr>
      <w:r>
        <w:t xml:space="preserve">Design note: the raw Time column was intentionally left out of the cube (see Section 1) because it is a row-order serial number, not a genuine business dimension — Power BI in particular tends to auto-detect it as a date/time value and render it in a way that has no real meaning here. The original Exercise 1 Day split (derived from Time) was dropped for the same reason; every dimension in this version of the cube (Period of Day, Hour, Class, Amount Range) is built only from columns that carry real analytical meaning.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2026-08-23T10:38:18.012Z</dcterms:created>
  <dcterms:modified xsi:type="dcterms:W3CDTF">2026-08-23T10:38:18.025Z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