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Research Papers and Citations</w:t>
      </w:r>
    </w:p>
    <w:p>
      <w:pPr>
        <w:spacing w:after="120"/>
      </w:pPr>
      <w:r>
        <w:rPr>
          <w:color w:val="55636B"/>
        </w:rPr>
        <w:t xml:space="preserve">Cambridge Underground Token Factory · SundAI × MIT AI Hackathon, Track 1 · October 2026</w:t>
      </w:r>
    </w:p>
    <w:p>
      <w:pPr>
        <w:spacing w:after="120"/>
      </w:pPr>
      <w:r>
        <w:t xml:space="preserve">Every source behind the idea, the demo and the pitch. Numbers in brackets match the pitch deck, the playbook and the GitHub README. Each entry says what kind of source it is and what we used it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3120"/>
      </w:tblGrid>
      <w:tr>
        <w:trPr>
          <w:tblHeader/>
        </w:trPr>
        <w:tc>
          <w:tcPr>
            <w:tcW w:type="dxa" w:w="468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Source type</w:t>
            </w:r>
          </w:p>
        </w:tc>
        <w:tc>
          <w:tcPr>
            <w:tcW w:type="dxa" w:w="156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Count</w:t>
            </w:r>
          </w:p>
        </w:tc>
        <w:tc>
          <w:tcPr>
            <w:tcW w:type="dxa" w:w="3120"/>
            <w:tcBorders>
              <w:top w:val="single" w:color="D3DBDF" w:sz="4"/>
              <w:left w:val="single" w:color="D3DBDF" w:sz="4"/>
              <w:bottom w:val="single" w:color="D3DBDF" w:sz="4"/>
              <w:right w:val="single" w:color="D3DBDF" w:sz="4"/>
            </w:tcBorders>
            <w:shd w:fill="1B2328" w:color="auto" w:val="clear"/>
            <w:tcMar>
              <w:top w:type="dxa" w:w="80"/>
              <w:left w:type="dxa" w:w="110"/>
              <w:bottom w:type="dxa" w:w="80"/>
              <w:right w:type="dxa" w:w="110"/>
            </w:tcMar>
          </w:tcPr>
          <w:p>
            <w:pPr>
              <w:spacing w:after="0"/>
            </w:pPr>
            <w:r>
              <w:rPr>
                <w:b/>
                <w:bCs/>
                <w:color w:val="FFFFFF"/>
                <w:sz w:val="20"/>
                <w:szCs w:val="20"/>
              </w:rPr>
              <w:t xml:space="preserve">Refs</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Peer-reviewed journal articles</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5</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[1] [2] [3] [4] [5]</w:t>
            </w:r>
          </w:p>
        </w:tc>
      </w:tr>
      <w:tr>
        <w:trPr>
          <w:tblHeader w:val="false"/>
        </w:trPr>
        <w:tc>
          <w:tcPr>
            <w:tcW w:type="dxa" w:w="468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Preprints</w:t>
            </w:r>
          </w:p>
        </w:tc>
        <w:tc>
          <w:tcPr>
            <w:tcW w:type="dxa" w:w="156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3</w:t>
            </w:r>
          </w:p>
        </w:tc>
        <w:tc>
          <w:tcPr>
            <w:tcW w:type="dxa" w:w="312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[6] [7] [8]</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Reports, official data and documentation</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9</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[9] [10] [11] [12] [13] [14] [20] [21] [23]</w:t>
            </w:r>
          </w:p>
        </w:tc>
      </w:tr>
      <w:tr>
        <w:trPr>
          <w:tblHeader w:val="false"/>
        </w:trPr>
        <w:tc>
          <w:tcPr>
            <w:tcW w:type="dxa" w:w="468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Real-world examples (industry cases and news)</w:t>
            </w:r>
          </w:p>
        </w:tc>
        <w:tc>
          <w:tcPr>
            <w:tcW w:type="dxa" w:w="156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9</w:t>
            </w:r>
          </w:p>
        </w:tc>
        <w:tc>
          <w:tcPr>
            <w:tcW w:type="dxa" w:w="3120"/>
            <w:tcBorders>
              <w:top w:val="single" w:color="D3DBDF" w:sz="4"/>
              <w:left w:val="single" w:color="D3DBDF" w:sz="4"/>
              <w:bottom w:val="single" w:color="D3DBDF" w:sz="4"/>
              <w:right w:val="single" w:color="D3DBDF" w:sz="4"/>
            </w:tcBorders>
            <w:shd w:fill="EEF2F3" w:color="auto" w:val="clear"/>
            <w:tcMar>
              <w:top w:type="dxa" w:w="80"/>
              <w:left w:type="dxa" w:w="110"/>
              <w:bottom w:type="dxa" w:w="80"/>
              <w:right w:type="dxa" w:w="110"/>
            </w:tcMar>
          </w:tcPr>
          <w:p>
            <w:pPr>
              <w:spacing w:after="0"/>
            </w:pPr>
            <w:r>
              <w:rPr>
                <w:b w:val="false"/>
                <w:bCs w:val="false"/>
                <w:color w:val="1B2328"/>
                <w:sz w:val="20"/>
                <w:szCs w:val="20"/>
              </w:rPr>
              <w:t xml:space="preserve">[15] [16] [17] [18] [19] [22] [24] [25] [26]</w:t>
            </w:r>
          </w:p>
        </w:tc>
      </w:tr>
      <w:tr>
        <w:trPr>
          <w:tblHeader w:val="false"/>
        </w:trPr>
        <w:tc>
          <w:tcPr>
            <w:tcW w:type="dxa" w:w="468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Background reading (not on slides)</w:t>
            </w:r>
          </w:p>
        </w:tc>
        <w:tc>
          <w:tcPr>
            <w:tcW w:type="dxa" w:w="156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5</w:t>
            </w:r>
          </w:p>
        </w:tc>
        <w:tc>
          <w:tcPr>
            <w:tcW w:type="dxa" w:w="3120"/>
            <w:tcBorders>
              <w:top w:val="single" w:color="D3DBDF" w:sz="4"/>
              <w:left w:val="single" w:color="D3DBDF" w:sz="4"/>
              <w:bottom w:val="single" w:color="D3DBDF" w:sz="4"/>
              <w:right w:val="single" w:color="D3DBDF" w:sz="4"/>
            </w:tcBorders>
            <w:tcMar>
              <w:top w:type="dxa" w:w="80"/>
              <w:left w:type="dxa" w:w="110"/>
              <w:bottom w:type="dxa" w:w="80"/>
              <w:right w:type="dxa" w:w="110"/>
            </w:tcMar>
          </w:tcPr>
          <w:p>
            <w:pPr>
              <w:spacing w:after="0"/>
            </w:pPr>
            <w:r>
              <w:rPr>
                <w:b w:val="false"/>
                <w:bCs w:val="false"/>
                <w:color w:val="1B2328"/>
                <w:sz w:val="20"/>
                <w:szCs w:val="20"/>
              </w:rPr>
              <w:t xml:space="preserve">B1–B5</w:t>
            </w:r>
          </w:p>
        </w:tc>
      </w:tr>
    </w:tbl>
    <w:p>
      <w:pPr>
        <w:spacing w:after="120"/>
      </w:pPr>
      <w:r>
        <w:t xml:space="preserve"/>
      </w:r>
    </w:p>
    <w:p>
      <w:pPr>
        <w:spacing w:after="120"/>
      </w:pPr>
      <w:r>
        <w:rPr>
          <w:b/>
          <w:bCs/>
        </w:rPr>
        <w:t xml:space="preserve">What the evidence does and does not prove. </w:t>
      </w:r>
      <w:r>
        <w:t xml:space="preserve">Each link of the design is supported: liquid cooling gives reusable heat [1], heat pumps lift it for district heating [2], aquifer storage beats chillers in summer [3], and real sites already run underground [16][17] or sell heat to homes [15][18]. No study or plant yet combines all of these at 100 MW under a city; our digital twin shows how they fit together.</w:t>
      </w:r>
    </w:p>
    <w:p>
      <w:pPr>
        <w:pStyle w:val="Heading1"/>
      </w:pPr>
      <w:r>
        <w:t xml:space="preserve">Peer-reviewed journal articles</w:t>
      </w:r>
    </w:p>
    <w:p>
      <w:pPr>
        <w:keepNext/>
        <w:spacing w:after="40" w:before="160"/>
        <w:ind w:left="600" w:hanging="600"/>
      </w:pPr>
      <w:r>
        <w:rPr>
          <w:b/>
          <w:bCs/>
        </w:rPr>
        <w:t xml:space="preserve">[1]	</w:t>
      </w:r>
      <w:r>
        <w:t xml:space="preserve">Yuan X., Liang Y., Hu X., Xu Y., Chen Y., Kosonen R. (2023). Waste heat recoveries in data centers: A review. Renewable and Sustainable Energy Reviews, 188, 113777.</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Liquid cooling returns 50–60 °C water, the most reusable heat; heat pumps and district heating are the best uses; Stockholm Data Parks example.</w:t>
      </w:r>
    </w:p>
    <w:p>
      <w:pPr>
        <w:spacing w:after="80"/>
        <w:ind w:left="600"/>
      </w:pPr>
      <w:hyperlink w:history="1" r:id="rIdb1hg6aaic963p7v3tjre6">
        <w:r>
          <w:rPr>
            <w:rStyle w:val="Hyperlink"/>
          </w:rPr>
          <w:t xml:space="preserve">https://acris.aalto.fi/ws/portalfiles/portal/124210750/1_s2.0_S1364032123006342_main.pdf</w:t>
        </w:r>
      </w:hyperlink>
    </w:p>
    <w:p>
      <w:pPr>
        <w:keepNext/>
        <w:spacing w:after="40" w:before="160"/>
        <w:ind w:left="600" w:hanging="600"/>
      </w:pPr>
      <w:r>
        <w:rPr>
          <w:b/>
          <w:bCs/>
        </w:rPr>
        <w:t xml:space="preserve">[2]	</w:t>
      </w:r>
      <w:r>
        <w:t xml:space="preserve">Wang P., Gao Z., Kowalski S.P., et al. (2024). District heating utilizing waste heat of a data center: High-temperature heat pumps. Energy and Buildings, 315, 114327. doi:10.1016/j.enbuild.2024.114327</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Heat pumps can lift data center heat to district-heating temperatures (up to 120 °C); ~85% less CO₂ than gas boilers.</w:t>
      </w:r>
    </w:p>
    <w:p>
      <w:pPr>
        <w:spacing w:after="80"/>
        <w:ind w:left="600"/>
      </w:pPr>
      <w:hyperlink w:history="1" r:id="rIdh9kwl7lmxwttgpbmua_o0">
        <w:r>
          <w:rPr>
            <w:rStyle w:val="Hyperlink"/>
          </w:rPr>
          <w:t xml:space="preserve">https://ornl.gov/publication/district-heating-utilizing-waste-heat-data-center-high-temperature-heat-pumps</w:t>
        </w:r>
      </w:hyperlink>
    </w:p>
    <w:p>
      <w:pPr>
        <w:keepNext/>
        <w:spacing w:after="40" w:before="160"/>
        <w:ind w:left="600" w:hanging="600"/>
      </w:pPr>
      <w:r>
        <w:rPr>
          <w:b/>
          <w:bCs/>
        </w:rPr>
        <w:t xml:space="preserve">[3]	</w:t>
      </w:r>
      <w:r>
        <w:t xml:space="preserve">Oh H., Jin W., Peng P., Winick J.A., Sickinger D., Sartor D., Zhang Y., Beckers K., Kitz K., Acero-Allard D., Atkinson T.A., Dobson P. (2025). Techno-economic performance of reservoir thermal energy storage for data center cooling system. Applied Energy, 391, 125858. doi:10.1016/j.apenergy.2025.125858</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Aquifer (reservoir) storage cools ~7× more efficiently than chillers at summer peak (COP 16.5 vs 2.4); cooling cost $15 → $5 per MWh.</w:t>
      </w:r>
    </w:p>
    <w:p>
      <w:pPr>
        <w:spacing w:after="80"/>
        <w:ind w:left="600"/>
      </w:pPr>
      <w:hyperlink w:history="1" r:id="rId7nzs4ydp3wk4gbrd4jubt">
        <w:r>
          <w:rPr>
            <w:rStyle w:val="Hyperlink"/>
          </w:rPr>
          <w:t xml:space="preserve">https://doi.org/10.1016/j.apenergy.2025.125858</w:t>
        </w:r>
      </w:hyperlink>
    </w:p>
    <w:p>
      <w:pPr>
        <w:keepNext/>
        <w:spacing w:after="40" w:before="160"/>
        <w:ind w:left="600" w:hanging="600"/>
      </w:pPr>
      <w:r>
        <w:rPr>
          <w:b/>
          <w:bCs/>
        </w:rPr>
        <w:t xml:space="preserve">[4]	</w:t>
      </w:r>
      <w:r>
        <w:t xml:space="preserve">Microsoft researchers (2025). Using life cycle assessment to drive innovation for sustainable cool clouds. Nature. Summary by Microsoft.</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Cold plates and immersion cut life-cycle emissions 15–21%, energy 15–20% and water 31–52% versus air; 100% renewable power cuts emissions 85–90%.</w:t>
      </w:r>
    </w:p>
    <w:p>
      <w:pPr>
        <w:spacing w:after="80"/>
        <w:ind w:left="600"/>
      </w:pPr>
      <w:hyperlink w:history="1" r:id="rIdgyxa6k6q5bwijjoli5psa">
        <w:r>
          <w:rPr>
            <w:rStyle w:val="Hyperlink"/>
          </w:rPr>
          <w:t xml:space="preserve">https://news.microsoft.com/source/features/sustainability/microsoft-quantifies-environmental-impacts-of-datacenter-cooling-from-cradle-to-grave-in-new-nature-study/</w:t>
        </w:r>
      </w:hyperlink>
    </w:p>
    <w:p>
      <w:pPr>
        <w:keepNext/>
        <w:spacing w:after="40" w:before="160"/>
        <w:ind w:left="600" w:hanging="600"/>
      </w:pPr>
      <w:r>
        <w:rPr>
          <w:b/>
          <w:bCs/>
        </w:rPr>
        <w:t xml:space="preserve">[5]	</w:t>
      </w:r>
      <w:r>
        <w:t xml:space="preserve">Hong Kong Polytechnic University and Technical University of Denmark authors (2026). Physics-guided deep reinforcement learning for optimized data center cooling and waste heat recovery utilizing aquifer thermal energy storage. Applied Energy. doi:10.1016/j.apenergy.2025.126984</w:t>
      </w:r>
    </w:p>
    <w:p>
      <w:pPr>
        <w:keepNext/>
        <w:spacing w:after="40"/>
        <w:ind w:left="600"/>
      </w:pPr>
      <w:r>
        <w:rPr>
          <w:b/>
          <w:bCs/>
          <w:color w:val="55636B"/>
          <w:sz w:val="20"/>
          <w:szCs w:val="20"/>
        </w:rPr>
        <w:t xml:space="preserve">Type: </w:t>
      </w:r>
      <w:r>
        <w:rPr>
          <w:color w:val="55636B"/>
          <w:sz w:val="20"/>
          <w:szCs w:val="20"/>
        </w:rPr>
        <w:t xml:space="preserve">Peer-reviewed journal article</w:t>
      </w:r>
    </w:p>
    <w:p>
      <w:pPr>
        <w:keepNext/>
        <w:spacing w:after="40"/>
        <w:ind w:left="600"/>
      </w:pPr>
      <w:r>
        <w:rPr>
          <w:b/>
          <w:bCs/>
          <w:color w:val="C2662D"/>
          <w:sz w:val="20"/>
          <w:szCs w:val="20"/>
        </w:rPr>
        <w:t xml:space="preserve">How we used it: </w:t>
      </w:r>
      <w:r>
        <w:rPr>
          <w:sz w:val="20"/>
          <w:szCs w:val="20"/>
        </w:rPr>
        <w:t xml:space="preserve">Combines data center cooling, waste-heat recovery and aquifer storage in one controlled system.</w:t>
      </w:r>
    </w:p>
    <w:p>
      <w:pPr>
        <w:spacing w:after="80"/>
        <w:ind w:left="600"/>
      </w:pPr>
      <w:hyperlink w:history="1" r:id="rIdeaxkfz2wlwomdms6myzdt">
        <w:r>
          <w:rPr>
            <w:rStyle w:val="Hyperlink"/>
          </w:rPr>
          <w:t xml:space="preserve">https://www.nature.com/nature-index/article/10.1016/j.apenergy.2025.126984</w:t>
        </w:r>
      </w:hyperlink>
    </w:p>
    <w:p>
      <w:pPr>
        <w:pStyle w:val="Heading1"/>
      </w:pPr>
      <w:r>
        <w:t xml:space="preserve">Preprints</w:t>
      </w:r>
    </w:p>
    <w:p>
      <w:pPr>
        <w:keepNext/>
        <w:spacing w:after="40" w:before="160"/>
        <w:ind w:left="600" w:hanging="600"/>
      </w:pPr>
      <w:r>
        <w:rPr>
          <w:b/>
          <w:bCs/>
        </w:rPr>
        <w:t xml:space="preserve">[6]	</w:t>
      </w:r>
      <w:r>
        <w:t xml:space="preserve">Li P., Yang J., Islam M.A., Ren S. Making AI Less “Thirsty”: Uncovering and Addressing the Secret Water Footprint of AI Models. arXiv:2304.03271.</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AI water footprint; evaporative cooling uses ~1–9 L per kWh on site, and power plants add ~3 L per kWh.</w:t>
      </w:r>
    </w:p>
    <w:p>
      <w:pPr>
        <w:spacing w:after="80"/>
        <w:ind w:left="600"/>
      </w:pPr>
      <w:hyperlink w:history="1" r:id="rIdqw5y_1uzpv__wyqv6ru66">
        <w:r>
          <w:rPr>
            <w:rStyle w:val="Hyperlink"/>
          </w:rPr>
          <w:t xml:space="preserve">https://arxiv.org/html/2304.03271v5</w:t>
        </w:r>
      </w:hyperlink>
    </w:p>
    <w:p>
      <w:pPr>
        <w:keepNext/>
        <w:spacing w:after="40" w:before="160"/>
        <w:ind w:left="600" w:hanging="600"/>
      </w:pPr>
      <w:r>
        <w:rPr>
          <w:b/>
          <w:bCs/>
        </w:rPr>
        <w:t xml:space="preserve">[7]	</w:t>
      </w:r>
      <w:r>
        <w:t xml:space="preserve">Google researchers (2025). Life-Cycle Emissions of AI Hardware: A Cradle-To-Grave Approach and Generational Trends. arXiv:2502.01671.</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Electricity use is ~70–90% of an AI chip’s lifetime emissions; building construction under 5%.</w:t>
      </w:r>
    </w:p>
    <w:p>
      <w:pPr>
        <w:spacing w:after="80"/>
        <w:ind w:left="600"/>
      </w:pPr>
      <w:hyperlink w:history="1" r:id="rIdzzi4cqcu_k50ozijsmdfd">
        <w:r>
          <w:rPr>
            <w:rStyle w:val="Hyperlink"/>
          </w:rPr>
          <w:t xml:space="preserve">https://arxiv.org/html/2502.01671v1</w:t>
        </w:r>
      </w:hyperlink>
    </w:p>
    <w:p>
      <w:pPr>
        <w:keepNext/>
        <w:spacing w:after="40" w:before="160"/>
        <w:ind w:left="600" w:hanging="600"/>
      </w:pPr>
      <w:r>
        <w:rPr>
          <w:b/>
          <w:bCs/>
        </w:rPr>
        <w:t xml:space="preserve">[8]	</w:t>
      </w:r>
      <w:r>
        <w:t xml:space="preserve">Brevity is the soul of sustainability: Characterizing LLM response lengths (2025). arXiv:2506.08686.</w:t>
      </w:r>
    </w:p>
    <w:p>
      <w:pPr>
        <w:keepNext/>
        <w:spacing w:after="40"/>
        <w:ind w:left="600"/>
      </w:pPr>
      <w:r>
        <w:rPr>
          <w:b/>
          <w:bCs/>
          <w:color w:val="55636B"/>
          <w:sz w:val="20"/>
          <w:szCs w:val="20"/>
        </w:rPr>
        <w:t xml:space="preserve">Type: </w:t>
      </w:r>
      <w:r>
        <w:rPr>
          <w:color w:val="55636B"/>
          <w:sz w:val="20"/>
          <w:szCs w:val="20"/>
        </w:rPr>
        <w:t xml:space="preserve">Preprint (arXiv, not yet peer-reviewed)</w:t>
      </w:r>
    </w:p>
    <w:p>
      <w:pPr>
        <w:keepNext/>
        <w:spacing w:after="40"/>
        <w:ind w:left="600"/>
      </w:pPr>
      <w:r>
        <w:rPr>
          <w:b/>
          <w:bCs/>
          <w:color w:val="C2662D"/>
          <w:sz w:val="20"/>
          <w:szCs w:val="20"/>
        </w:rPr>
        <w:t xml:space="preserve">How we used it: </w:t>
      </w:r>
      <w:r>
        <w:rPr>
          <w:sz w:val="20"/>
          <w:szCs w:val="20"/>
        </w:rPr>
        <w:t xml:space="preserve">Typical response lengths (about 150–760 tokens), used to convert messages per day into tokens.</w:t>
      </w:r>
    </w:p>
    <w:p>
      <w:pPr>
        <w:spacing w:after="80"/>
        <w:ind w:left="600"/>
      </w:pPr>
      <w:hyperlink w:history="1" r:id="rId6ondd8ys8txhektkltn66">
        <w:r>
          <w:rPr>
            <w:rStyle w:val="Hyperlink"/>
          </w:rPr>
          <w:t xml:space="preserve">https://arxiv.org/pdf/2506.08686</w:t>
        </w:r>
      </w:hyperlink>
    </w:p>
    <w:p>
      <w:pPr>
        <w:pStyle w:val="Heading1"/>
      </w:pPr>
      <w:r>
        <w:t xml:space="preserve">Reports, official data and documentation</w:t>
      </w:r>
    </w:p>
    <w:p>
      <w:pPr>
        <w:keepNext/>
        <w:spacing w:after="40" w:before="160"/>
        <w:ind w:left="600" w:hanging="600"/>
      </w:pPr>
      <w:r>
        <w:rPr>
          <w:b/>
          <w:bCs/>
        </w:rPr>
        <w:t xml:space="preserve">[9]	</w:t>
      </w:r>
      <w:r>
        <w:t xml:space="preserve">OpenAI with D. Deming (2025). How People Use ChatGPT. NBER working paper; reported by Computing, 17 Sep 2025.</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2.6B ChatGPT messages a day from 700M+ weekly users, used for case A (prompters).</w:t>
      </w:r>
    </w:p>
    <w:p>
      <w:pPr>
        <w:spacing w:after="80"/>
        <w:ind w:left="600"/>
      </w:pPr>
      <w:hyperlink w:history="1" r:id="rId2eperz_9gcg7pwfgxq6a2">
        <w:r>
          <w:rPr>
            <w:rStyle w:val="Hyperlink"/>
          </w:rPr>
          <w:t xml:space="preserve">https://www.computing.co.uk/news/2025/ai/openai-reveals-what-chatgpt-users-look-for</w:t>
        </w:r>
      </w:hyperlink>
    </w:p>
    <w:p>
      <w:pPr>
        <w:keepNext/>
        <w:spacing w:after="40" w:before="160"/>
        <w:ind w:left="600" w:hanging="600"/>
      </w:pPr>
      <w:r>
        <w:rPr>
          <w:b/>
          <w:bCs/>
        </w:rPr>
        <w:t xml:space="preserve">[10]	</w:t>
      </w:r>
      <w:r>
        <w:t xml:space="preserve">Anthropic. Claude Code documentation: Manage costs effectively (accessed Oct 2026).</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About $13 per developer per active day for Claude Code, used for case B (agent developers).</w:t>
      </w:r>
    </w:p>
    <w:p>
      <w:pPr>
        <w:spacing w:after="80"/>
        <w:ind w:left="600"/>
      </w:pPr>
      <w:hyperlink w:history="1" r:id="rIdhio3wiikpnfiemhksfd7b">
        <w:r>
          <w:rPr>
            <w:rStyle w:val="Hyperlink"/>
          </w:rPr>
          <w:t xml:space="preserve">https://code.claude.com/docs/en/costs</w:t>
        </w:r>
      </w:hyperlink>
    </w:p>
    <w:p>
      <w:pPr>
        <w:keepNext/>
        <w:spacing w:after="40" w:before="160"/>
        <w:ind w:left="600" w:hanging="600"/>
      </w:pPr>
      <w:r>
        <w:rPr>
          <w:b/>
          <w:bCs/>
        </w:rPr>
        <w:t xml:space="preserve">[11]	</w:t>
      </w:r>
      <w:r>
        <w:t xml:space="preserve">Federal Reserve Bank of St. Louis (27 Feb 2025). The Impact of Generative AI on Work Productivity. On the Economy blog.</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AI users spend ~15–60+ minutes per workday with generative AI, used for case C (knowledge workers).</w:t>
      </w:r>
    </w:p>
    <w:p>
      <w:pPr>
        <w:spacing w:after="80"/>
        <w:ind w:left="600"/>
      </w:pPr>
      <w:hyperlink w:history="1" r:id="rIdl35t_ovw7d5liv-egjj3w">
        <w:r>
          <w:rPr>
            <w:rStyle w:val="Hyperlink"/>
          </w:rPr>
          <w:t xml:space="preserve">https://www.stlouisfed.org/on-the-economy/2025/feb/impact-generative-ai-work-productivity</w:t>
        </w:r>
      </w:hyperlink>
    </w:p>
    <w:p>
      <w:pPr>
        <w:keepNext/>
        <w:spacing w:after="40" w:before="160"/>
        <w:ind w:left="600" w:hanging="600"/>
      </w:pPr>
      <w:r>
        <w:rPr>
          <w:b/>
          <w:bCs/>
        </w:rPr>
        <w:t xml:space="preserve">[12]	</w:t>
      </w:r>
      <w:r>
        <w:t xml:space="preserve">Google (19 May 2026). I/O 2026 keynote recap: over 3.2 quadrillion tokens processed per month.</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3.2 quadrillion tokens a month (May 2026), used as a scale check on our ~29 trillion output tokens a day.</w:t>
      </w:r>
    </w:p>
    <w:p>
      <w:pPr>
        <w:spacing w:after="80"/>
        <w:ind w:left="600"/>
      </w:pPr>
      <w:hyperlink w:history="1" r:id="rIdqfjb568urn24q-prvvary">
        <w:r>
          <w:rPr>
            <w:rStyle w:val="Hyperlink"/>
          </w:rPr>
          <w:t xml:space="preserve">https://blog.google/innovation-and-ai/sundar-pichai-io-2026/</w:t>
        </w:r>
      </w:hyperlink>
    </w:p>
    <w:p>
      <w:pPr>
        <w:keepNext/>
        <w:spacing w:after="40" w:before="160"/>
        <w:ind w:left="600" w:hanging="600"/>
      </w:pPr>
      <w:r>
        <w:rPr>
          <w:b/>
          <w:bCs/>
        </w:rPr>
        <w:t xml:space="preserve">[13]	</w:t>
      </w:r>
      <w:r>
        <w:t xml:space="preserve">Princeton ZERO Lab (J. Jenkins et al.). System-level impacts of 24/7 carbon-free electricity procurement; summarized by Canary Media, Nov 2021.</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24/7 hourly clean-power matching cuts emissions further than annual matching but costs 39–64% more in California.</w:t>
      </w:r>
    </w:p>
    <w:p>
      <w:pPr>
        <w:spacing w:after="80"/>
        <w:ind w:left="600"/>
      </w:pPr>
      <w:hyperlink w:history="1" r:id="rIdhaidpp2xa-3kb_4lonmag">
        <w:r>
          <w:rPr>
            <w:rStyle w:val="Hyperlink"/>
          </w:rPr>
          <w:t xml:space="preserve">https://www.canarymedia.com/articles/clean-energy/what-24-7-carbon-free-energy-can-achieve-over-the-long-term</w:t>
        </w:r>
      </w:hyperlink>
    </w:p>
    <w:p>
      <w:pPr>
        <w:keepNext/>
        <w:spacing w:after="40" w:before="160"/>
        <w:ind w:left="600" w:hanging="600"/>
      </w:pPr>
      <w:r>
        <w:rPr>
          <w:b/>
          <w:bCs/>
        </w:rPr>
        <w:t xml:space="preserve">[14]	</w:t>
      </w:r>
      <w:r>
        <w:t xml:space="preserve">Duke University Nicholas Institute (2025). Rethinking Load Growth: flexible large loads; reported by POWER magazine.</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~76 GW of new US load fits if loads accept 0.25% curtailment; supports grid-flexible data centers.</w:t>
      </w:r>
    </w:p>
    <w:p>
      <w:pPr>
        <w:spacing w:after="80"/>
        <w:ind w:left="600"/>
      </w:pPr>
      <w:hyperlink w:history="1" r:id="rIdmsvn9hubdwsh5gbf1jqlv">
        <w:r>
          <w:rPr>
            <w:rStyle w:val="Hyperlink"/>
          </w:rPr>
          <w:t xml:space="preserve">https://www.powermag.com/duke-researchers-grid-flexibility-key-to-accommodate-load-growth</w:t>
        </w:r>
      </w:hyperlink>
    </w:p>
    <w:p>
      <w:pPr>
        <w:keepNext/>
        <w:spacing w:after="40" w:before="160"/>
        <w:ind w:left="600" w:hanging="600"/>
      </w:pPr>
      <w:r>
        <w:rPr>
          <w:b/>
          <w:bCs/>
        </w:rPr>
        <w:t xml:space="preserve">[20]	</w:t>
      </w:r>
      <w:r>
        <w:t xml:space="preserve">MIT Department of Facilities. Central Utilities Plant (cogeneration; electricity, steam, chilled water; upgrade 2019–2021).</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MIT’s Central Utilities Plant is a cogeneration plant feeding the campus district energy system; upgraded 2019–2021.</w:t>
      </w:r>
    </w:p>
    <w:p>
      <w:pPr>
        <w:spacing w:after="80"/>
        <w:ind w:left="600"/>
      </w:pPr>
      <w:hyperlink w:history="1" r:id="rIdfbiwngzotocaivqivgado">
        <w:r>
          <w:rPr>
            <w:rStyle w:val="Hyperlink"/>
          </w:rPr>
          <w:t xml:space="preserve">https://web.mit.edu/facilities/about/utilities/cup.html</w:t>
        </w:r>
      </w:hyperlink>
    </w:p>
    <w:p>
      <w:pPr>
        <w:keepNext/>
        <w:spacing w:after="40" w:before="160"/>
        <w:ind w:left="600" w:hanging="600"/>
      </w:pPr>
      <w:r>
        <w:rPr>
          <w:b/>
          <w:bCs/>
        </w:rPr>
        <w:t xml:space="preserve">[21]	</w:t>
      </w:r>
      <w:r>
        <w:t xml:space="preserve">MIT News (3 May 2017). Mass. Department of Environmental Protection set to approve Central Utilities Plant upgrade: two 22 MW turbines with heat recovery steam generators; serves 100+ buildings.</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Two 22 MW turbines with heat-recovery steam generators; the plant serves 100+ MIT buildings.</w:t>
      </w:r>
    </w:p>
    <w:p>
      <w:pPr>
        <w:spacing w:after="80"/>
        <w:ind w:left="600"/>
      </w:pPr>
      <w:hyperlink w:history="1" r:id="rIdnquuk3jw9m0va_gclbyj5">
        <w:r>
          <w:rPr>
            <w:rStyle w:val="Hyperlink"/>
          </w:rPr>
          <w:t xml:space="preserve">https://news.mit.edu/index%2Ephp/2017/mass-department-environmental-protection-set-to-approve-central-utilities-plant-upgrade-0503</w:t>
        </w:r>
      </w:hyperlink>
    </w:p>
    <w:p>
      <w:pPr>
        <w:keepNext/>
        <w:spacing w:after="40" w:before="160"/>
        <w:ind w:left="600" w:hanging="600"/>
      </w:pPr>
      <w:r>
        <w:rPr>
          <w:b/>
          <w:bCs/>
        </w:rPr>
        <w:t xml:space="preserve">[23]	</w:t>
      </w:r>
      <w:r>
        <w:t xml:space="preserve">MIT Office of Sustainability (Oct 2023). Decarbonizing MIT’s District Energy System (poster): pathways incl. heat pumps, geothermal, river-water heat exchange, storage, green steam.</w:t>
      </w:r>
    </w:p>
    <w:p>
      <w:pPr>
        <w:keepNext/>
        <w:spacing w:after="40"/>
        <w:ind w:left="600"/>
      </w:pPr>
      <w:r>
        <w:rPr>
          <w:b/>
          <w:bCs/>
          <w:color w:val="55636B"/>
          <w:sz w:val="20"/>
          <w:szCs w:val="20"/>
        </w:rPr>
        <w:t xml:space="preserve">Type: </w:t>
      </w:r>
      <w:r>
        <w:rPr>
          <w:color w:val="55636B"/>
          <w:sz w:val="20"/>
          <w:szCs w:val="20"/>
        </w:rPr>
        <w:t xml:space="preserve">Official report, data or documentation</w:t>
      </w:r>
    </w:p>
    <w:p>
      <w:pPr>
        <w:keepNext/>
        <w:spacing w:after="40"/>
        <w:ind w:left="600"/>
      </w:pPr>
      <w:r>
        <w:rPr>
          <w:b/>
          <w:bCs/>
          <w:color w:val="C2662D"/>
          <w:sz w:val="20"/>
          <w:szCs w:val="20"/>
        </w:rPr>
        <w:t xml:space="preserve">How we used it: </w:t>
      </w:r>
      <w:r>
        <w:rPr>
          <w:sz w:val="20"/>
          <w:szCs w:val="20"/>
        </w:rPr>
        <w:t xml:space="preserve">MIT’s decarbonization pathways include heat pumps, geothermal, river-water heat exchange, storage and green-steam partners.</w:t>
      </w:r>
    </w:p>
    <w:p>
      <w:pPr>
        <w:spacing w:after="80"/>
        <w:ind w:left="600"/>
      </w:pPr>
      <w:hyperlink w:history="1" r:id="rIdgpfvkov9bppd_ysh-mdfa">
        <w:r>
          <w:rPr>
            <w:rStyle w:val="Hyperlink"/>
          </w:rPr>
          <w:t xml:space="preserve">https://sustainability.mit.edu/sites/default/files/2024-01/MIT%20Decarb%20District%20Energy%20Poster%202023-10-25%5B83%5D.pdf</w:t>
        </w:r>
      </w:hyperlink>
    </w:p>
    <w:p>
      <w:pPr>
        <w:pStyle w:val="Heading1"/>
      </w:pPr>
      <w:r>
        <w:t xml:space="preserve">Real-world examples (industry cases and news)</w:t>
      </w:r>
    </w:p>
    <w:p>
      <w:pPr>
        <w:keepNext/>
        <w:spacing w:after="40" w:before="160"/>
        <w:ind w:left="600" w:hanging="600"/>
      </w:pPr>
      <w:r>
        <w:rPr>
          <w:b/>
          <w:bCs/>
        </w:rPr>
        <w:t xml:space="preserve">[15]	</w:t>
      </w:r>
      <w:r>
        <w:t xml:space="preserve">Ramboll. Meta: surplus heat to district heating, Odense, Denmark.</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Meta Odense: ~45 MW of heat pumps lift waste heat to 70–75 °C, heating 12,000+ homes.</w:t>
      </w:r>
    </w:p>
    <w:p>
      <w:pPr>
        <w:spacing w:after="80"/>
        <w:ind w:left="600"/>
      </w:pPr>
      <w:hyperlink w:history="1" r:id="rIditfyaopcl9dt7kxc1rbyz">
        <w:r>
          <w:rPr>
            <w:rStyle w:val="Hyperlink"/>
          </w:rPr>
          <w:t xml:space="preserve">https://www.ramboll.com/projects/energy/meta-surplus-heat-to-district-heating</w:t>
        </w:r>
      </w:hyperlink>
    </w:p>
    <w:p>
      <w:pPr>
        <w:keepNext/>
        <w:spacing w:after="40" w:before="160"/>
        <w:ind w:left="600" w:hanging="600"/>
      </w:pPr>
      <w:r>
        <w:rPr>
          <w:b/>
          <w:bCs/>
        </w:rPr>
        <w:t xml:space="preserve">[16]	</w:t>
      </w:r>
      <w:r>
        <w:t xml:space="preserve">Mearian L. Green IT: 22 stories underground, Iron Mountain’s experimental Room 48. Network World.</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Iron Mountain: data halls ~22 stories underground in a limestone mine, cooled by an underground lake.</w:t>
      </w:r>
    </w:p>
    <w:p>
      <w:pPr>
        <w:spacing w:after="80"/>
        <w:ind w:left="600"/>
      </w:pPr>
      <w:hyperlink w:history="1" r:id="rIdfwvjg1gpkxmfyz27jqf-a">
        <w:r>
          <w:rPr>
            <w:rStyle w:val="Hyperlink"/>
          </w:rPr>
          <w:t xml:space="preserve">https://www.networkworld.com/article/769469/green-it-22-stories-underground-iron-mountain-s-experimental-room-48.html</w:t>
        </w:r>
      </w:hyperlink>
    </w:p>
    <w:p>
      <w:pPr>
        <w:keepNext/>
        <w:spacing w:after="40" w:before="160"/>
        <w:ind w:left="600" w:hanging="600"/>
      </w:pPr>
      <w:r>
        <w:rPr>
          <w:b/>
          <w:bCs/>
        </w:rPr>
        <w:t xml:space="preserve">[17]	</w:t>
      </w:r>
      <w:r>
        <w:t xml:space="preserve">DatacenterDynamics. Secrets of Norway’s green labyrinth (Lefdal Mine Datacenter).</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Lefdal Mine: data center inside a former mine in Norway, cooled with fjord water.</w:t>
      </w:r>
    </w:p>
    <w:p>
      <w:pPr>
        <w:spacing w:after="80"/>
        <w:ind w:left="600"/>
      </w:pPr>
      <w:hyperlink w:history="1" r:id="rIdos8byx1pdyg7lqjbsi0ds">
        <w:r>
          <w:rPr>
            <w:rStyle w:val="Hyperlink"/>
          </w:rPr>
          <w:t xml:space="preserve">https://www.datacenterdynamics.com/en/opinions/secrets-of-norways-green-labyrinth/</w:t>
        </w:r>
      </w:hyperlink>
    </w:p>
    <w:p>
      <w:pPr>
        <w:keepNext/>
        <w:spacing w:after="40" w:before="160"/>
        <w:ind w:left="600" w:hanging="600"/>
      </w:pPr>
      <w:r>
        <w:rPr>
          <w:b/>
          <w:bCs/>
        </w:rPr>
        <w:t xml:space="preserve">[18]	</w:t>
      </w:r>
      <w:r>
        <w:t xml:space="preserve">Eurelectric. Microsoft data centers to provide 40% of Fortum’s electricity-based district heating in Espoo, Finland.</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Microsoft and Fortum plan for data centers to supply ~40% of district heat around Espoo, Finland.</w:t>
      </w:r>
    </w:p>
    <w:p>
      <w:pPr>
        <w:spacing w:after="80"/>
        <w:ind w:left="600"/>
      </w:pPr>
      <w:hyperlink w:history="1" r:id="rIdsttre4n6dyvzcqlnwsk_g">
        <w:r>
          <w:rPr>
            <w:rStyle w:val="Hyperlink"/>
          </w:rPr>
          <w:t xml:space="preserve">https://www.eurelectric.org/stories/microsoft-data-centers-provide-40-of-fortums-electricity-based-district-heating-in-espoo-finland/</w:t>
        </w:r>
      </w:hyperlink>
    </w:p>
    <w:p>
      <w:pPr>
        <w:keepNext/>
        <w:spacing w:after="40" w:before="160"/>
        <w:ind w:left="600" w:hanging="600"/>
      </w:pPr>
      <w:r>
        <w:rPr>
          <w:b/>
          <w:bCs/>
        </w:rPr>
        <w:t xml:space="preserve">[19]	</w:t>
      </w:r>
      <w:r>
        <w:t xml:space="preserve">HPCwire (27 Jan 2023). PFAS regulations, 3M exit to impact two-phase cooling in HPC.</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3M’s exit from PFAS manufacturing puts two-phase immersion fluids at risk; why we use PFAS-free cooling.</w:t>
      </w:r>
    </w:p>
    <w:p>
      <w:pPr>
        <w:spacing w:after="80"/>
        <w:ind w:left="600"/>
      </w:pPr>
      <w:hyperlink w:history="1" r:id="rId-hzv0dbimfrejwofuim7f">
        <w:r>
          <w:rPr>
            <w:rStyle w:val="Hyperlink"/>
          </w:rPr>
          <w:t xml:space="preserve">https://www.hpcwire.com/2023/01/27/pfas-regulations-3m-exit-to-impact-two-phase-cooling-in-hpc/</w:t>
        </w:r>
      </w:hyperlink>
    </w:p>
    <w:p>
      <w:pPr>
        <w:keepNext/>
        <w:spacing w:after="40" w:before="160"/>
        <w:ind w:left="600" w:hanging="600"/>
      </w:pPr>
      <w:r>
        <w:rPr>
          <w:b/>
          <w:bCs/>
        </w:rPr>
        <w:t xml:space="preserve">[22]	</w:t>
      </w:r>
      <w:r>
        <w:t xml:space="preserve">International District Energy Association blog (27 Sep 2022). How MIT is working to reduce carbon emissions on our campus.</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MIT’s district energy history (cogeneration since 1995), net zero by 2026 and no direct emissions by 2050.</w:t>
      </w:r>
    </w:p>
    <w:p>
      <w:pPr>
        <w:spacing w:after="80"/>
        <w:ind w:left="600"/>
      </w:pPr>
      <w:hyperlink w:history="1" r:id="rIdo3fj-rtbiymcyioiwmjx9">
        <w:r>
          <w:rPr>
            <w:rStyle w:val="Hyperlink"/>
          </w:rPr>
          <w:t xml:space="preserve">https://www.districtenergy.org/blogs/district-energy/2022/09/27/how-mit-is-working-to-reduce-carbon-emissions-on-o</w:t>
        </w:r>
      </w:hyperlink>
    </w:p>
    <w:p>
      <w:pPr>
        <w:keepNext/>
        <w:spacing w:after="40" w:before="160"/>
        <w:ind w:left="600" w:hanging="600"/>
      </w:pPr>
      <w:r>
        <w:rPr>
          <w:b/>
          <w:bCs/>
        </w:rPr>
        <w:t xml:space="preserve">[24]	</w:t>
      </w:r>
      <w:r>
        <w:t xml:space="preserve">Inside Climate News (29 Jan 2025). As MIT aims to decarbonize, competing ideas focus on thermal energy systems.</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Options debated at MIT, including an ambient-temperature loop with boreholes as a thermal battery.</w:t>
      </w:r>
    </w:p>
    <w:p>
      <w:pPr>
        <w:spacing w:after="80"/>
        <w:ind w:left="600"/>
      </w:pPr>
      <w:hyperlink w:history="1" r:id="rIdsfyra0fp3wcjxj4xjpzmo">
        <w:r>
          <w:rPr>
            <w:rStyle w:val="Hyperlink"/>
          </w:rPr>
          <w:t xml:space="preserve">https://insideclimatenews.org/news/29012025/mit-decarbonization-thermal-energy-systems/</w:t>
        </w:r>
      </w:hyperlink>
    </w:p>
    <w:p>
      <w:pPr>
        <w:keepNext/>
        <w:spacing w:after="40" w:before="160"/>
        <w:ind w:left="600" w:hanging="600"/>
      </w:pPr>
      <w:r>
        <w:rPr>
          <w:b/>
          <w:bCs/>
        </w:rPr>
        <w:t xml:space="preserve">[25]	</w:t>
      </w:r>
      <w:r>
        <w:t xml:space="preserve">Engineering News-Record (24 Apr 2024). Cambridge, Mass., cogeneration plant upgraded with 42-MW electric boiler (Vicinity Energy, Kendall).</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Vicinity’s 250 MW Kendall plant added a 42 MW electric boiler in 2024.</w:t>
      </w:r>
    </w:p>
    <w:p>
      <w:pPr>
        <w:spacing w:after="80"/>
        <w:ind w:left="600"/>
      </w:pPr>
      <w:hyperlink w:history="1" r:id="rIdovdtfqlg4usnikpulnc2w">
        <w:r>
          <w:rPr>
            <w:rStyle w:val="Hyperlink"/>
          </w:rPr>
          <w:t xml:space="preserve">https://www.enr.com/articles/58524-cambridge-mass-cogeneration-plant-upgraded-with-42-mw-electric-boiler</w:t>
        </w:r>
      </w:hyperlink>
    </w:p>
    <w:p>
      <w:pPr>
        <w:keepNext/>
        <w:spacing w:after="40" w:before="160"/>
        <w:ind w:left="600" w:hanging="600"/>
      </w:pPr>
      <w:r>
        <w:rPr>
          <w:b/>
          <w:bCs/>
        </w:rPr>
        <w:t xml:space="preserve">[26]	</w:t>
      </w:r>
      <w:r>
        <w:t xml:space="preserve">pv magazine USA (6 Nov 2025). Work underway on ‘river’ heat pump complex in Massachusetts: 35 MW Charles River heat pump at Vicinity’s Kendall facility.</w:t>
      </w:r>
    </w:p>
    <w:p>
      <w:pPr>
        <w:keepNext/>
        <w:spacing w:after="40"/>
        <w:ind w:left="600"/>
      </w:pPr>
      <w:r>
        <w:rPr>
          <w:b/>
          <w:bCs/>
          <w:color w:val="55636B"/>
          <w:sz w:val="20"/>
          <w:szCs w:val="20"/>
        </w:rPr>
        <w:t xml:space="preserve">Type: </w:t>
      </w:r>
      <w:r>
        <w:rPr>
          <w:color w:val="55636B"/>
          <w:sz w:val="20"/>
          <w:szCs w:val="20"/>
        </w:rPr>
        <w:t xml:space="preserve">Industry case or trade press</w:t>
      </w:r>
    </w:p>
    <w:p>
      <w:pPr>
        <w:keepNext/>
        <w:spacing w:after="40"/>
        <w:ind w:left="600"/>
      </w:pPr>
      <w:r>
        <w:rPr>
          <w:b/>
          <w:bCs/>
          <w:color w:val="C2662D"/>
          <w:sz w:val="20"/>
          <w:szCs w:val="20"/>
        </w:rPr>
        <w:t xml:space="preserve">How we used it: </w:t>
      </w:r>
      <w:r>
        <w:rPr>
          <w:sz w:val="20"/>
          <w:szCs w:val="20"/>
        </w:rPr>
        <w:t xml:space="preserve">Vicinity is building a 35 MW Charles River heat pump at Kendall, through 2028; real-world proof of river heat in Cambridge.</w:t>
      </w:r>
    </w:p>
    <w:p>
      <w:pPr>
        <w:spacing w:after="80"/>
        <w:ind w:left="600"/>
      </w:pPr>
      <w:hyperlink w:history="1" r:id="rIdptztc-x-a7vkyj6g1x9_u">
        <w:r>
          <w:rPr>
            <w:rStyle w:val="Hyperlink"/>
          </w:rPr>
          <w:t xml:space="preserve">https://pv-magazine-usa.com/2025/11/06/work-underway-on-river-heat-pump-complex-in-massachusetts/</w:t>
        </w:r>
      </w:hyperlink>
    </w:p>
    <w:p>
      <w:pPr>
        <w:pStyle w:val="Heading1"/>
      </w:pPr>
      <w:r>
        <w:t xml:space="preserve">Background reading</w:t>
      </w:r>
    </w:p>
    <w:p>
      <w:pPr>
        <w:spacing w:after="120"/>
      </w:pPr>
      <w:r>
        <w:t xml:space="preserve">Consulted during research and used in our answers to judges, but not cited on the slides.</w:t>
      </w:r>
    </w:p>
    <w:p>
      <w:pPr>
        <w:keepNext/>
        <w:spacing w:after="40" w:before="160"/>
        <w:ind w:left="600" w:hanging="600"/>
      </w:pPr>
      <w:r>
        <w:rPr>
          <w:b/>
          <w:bCs/>
        </w:rPr>
        <w:t xml:space="preserve">[B1]	</w:t>
      </w:r>
      <w:r>
        <w:t xml:space="preserve">Sukprasert T., Souza A., Bashir N., Irwin D., Shenoy P. (2024). On the Limitations of Carbon-Aware Temporal and Spatial Workload Shifting in the Cloud. Proceedings of EuroSys 2024.</w:t>
      </w:r>
    </w:p>
    <w:p>
      <w:pPr>
        <w:keepNext/>
        <w:spacing w:after="40"/>
        <w:ind w:left="600"/>
      </w:pPr>
      <w:r>
        <w:rPr>
          <w:b/>
          <w:bCs/>
          <w:color w:val="55636B"/>
          <w:sz w:val="20"/>
          <w:szCs w:val="20"/>
        </w:rPr>
        <w:t xml:space="preserve">Type: </w:t>
      </w:r>
      <w:r>
        <w:rPr>
          <w:color w:val="55636B"/>
          <w:sz w:val="20"/>
          <w:szCs w:val="20"/>
        </w:rPr>
        <w:t xml:space="preserve">Peer-reviewed conference</w:t>
      </w:r>
    </w:p>
    <w:p>
      <w:pPr>
        <w:keepNext/>
        <w:spacing w:after="40"/>
        <w:ind w:left="600"/>
      </w:pPr>
      <w:r>
        <w:rPr>
          <w:b/>
          <w:bCs/>
          <w:color w:val="C2662D"/>
          <w:sz w:val="20"/>
          <w:szCs w:val="20"/>
        </w:rPr>
        <w:t xml:space="preserve">How we used it: </w:t>
      </w:r>
      <w:r>
        <w:rPr>
          <w:sz w:val="20"/>
          <w:szCs w:val="20"/>
        </w:rPr>
        <w:t xml:space="preserve">Realistic carbon savings from moving workloads in time or space are much smaller than ideal estimates; choosing a clean site matters most.</w:t>
      </w:r>
    </w:p>
    <w:p>
      <w:pPr>
        <w:spacing w:after="80"/>
        <w:ind w:left="600"/>
      </w:pPr>
      <w:hyperlink w:history="1" r:id="rIdmazsj7f6-jytk_dqwhru2">
        <w:r>
          <w:rPr>
            <w:rStyle w:val="Hyperlink"/>
          </w:rPr>
          <w:t xml:space="preserve">https://lass.cs.umass.edu/papers/pdf/eurosys24-shiftinglimitations.pdf</w:t>
        </w:r>
      </w:hyperlink>
    </w:p>
    <w:p>
      <w:pPr>
        <w:keepNext/>
        <w:spacing w:after="40" w:before="160"/>
        <w:ind w:left="600" w:hanging="600"/>
      </w:pPr>
      <w:r>
        <w:rPr>
          <w:b/>
          <w:bCs/>
        </w:rPr>
        <w:t xml:space="preserve">[B2]	</w:t>
      </w:r>
      <w:r>
        <w:t xml:space="preserve">Google (2025). Measuring the environmental impact of delivering AI at Google Scale. arXiv:2508.15734.</w:t>
      </w:r>
    </w:p>
    <w:p>
      <w:pPr>
        <w:keepNext/>
        <w:spacing w:after="40"/>
        <w:ind w:left="600"/>
      </w:pPr>
      <w:r>
        <w:rPr>
          <w:b/>
          <w:bCs/>
          <w:color w:val="55636B"/>
          <w:sz w:val="20"/>
          <w:szCs w:val="20"/>
        </w:rPr>
        <w:t xml:space="preserve">Type: </w:t>
      </w:r>
      <w:r>
        <w:rPr>
          <w:color w:val="55636B"/>
          <w:sz w:val="20"/>
          <w:szCs w:val="20"/>
        </w:rPr>
        <w:t xml:space="preserve">Preprint</w:t>
      </w:r>
    </w:p>
    <w:p>
      <w:pPr>
        <w:keepNext/>
        <w:spacing w:after="40"/>
        <w:ind w:left="600"/>
      </w:pPr>
      <w:r>
        <w:rPr>
          <w:b/>
          <w:bCs/>
          <w:color w:val="C2662D"/>
          <w:sz w:val="20"/>
          <w:szCs w:val="20"/>
        </w:rPr>
        <w:t xml:space="preserve">How we used it: </w:t>
      </w:r>
      <w:r>
        <w:rPr>
          <w:sz w:val="20"/>
          <w:szCs w:val="20"/>
        </w:rPr>
        <w:t xml:space="preserve">Median Gemini text prompt: 0.24 Wh, 0.03 gCO₂e, 0.26 mL water; 33× less energy per prompt in one year from serving-stack improvements.</w:t>
      </w:r>
    </w:p>
    <w:p>
      <w:pPr>
        <w:spacing w:after="80"/>
        <w:ind w:left="600"/>
      </w:pPr>
      <w:hyperlink w:history="1" r:id="rIdormhonwt3zkphikli0zic">
        <w:r>
          <w:rPr>
            <w:rStyle w:val="Hyperlink"/>
          </w:rPr>
          <w:t xml:space="preserve">https://arxiv.org/abs/2508.15734</w:t>
        </w:r>
      </w:hyperlink>
    </w:p>
    <w:p>
      <w:pPr>
        <w:keepNext/>
        <w:spacing w:after="40" w:before="160"/>
        <w:ind w:left="600" w:hanging="600"/>
      </w:pPr>
      <w:r>
        <w:rPr>
          <w:b/>
          <w:bCs/>
        </w:rPr>
        <w:t xml:space="preserve">[B3]	</w:t>
      </w:r>
      <w:r>
        <w:t xml:space="preserve">International Energy Agency (2025). Energy and AI. Reported by DatacenterDynamics.</w:t>
      </w:r>
    </w:p>
    <w:p>
      <w:pPr>
        <w:keepNext/>
        <w:spacing w:after="40"/>
        <w:ind w:left="600"/>
      </w:pPr>
      <w:r>
        <w:rPr>
          <w:b/>
          <w:bCs/>
          <w:color w:val="55636B"/>
          <w:sz w:val="20"/>
          <w:szCs w:val="20"/>
        </w:rPr>
        <w:t xml:space="preserve">Type: </w:t>
      </w:r>
      <w:r>
        <w:rPr>
          <w:color w:val="55636B"/>
          <w:sz w:val="20"/>
          <w:szCs w:val="20"/>
        </w:rPr>
        <w:t xml:space="preserve">Report</w:t>
      </w:r>
    </w:p>
    <w:p>
      <w:pPr>
        <w:keepNext/>
        <w:spacing w:after="40"/>
        <w:ind w:left="600"/>
      </w:pPr>
      <w:r>
        <w:rPr>
          <w:b/>
          <w:bCs/>
          <w:color w:val="C2662D"/>
          <w:sz w:val="20"/>
          <w:szCs w:val="20"/>
        </w:rPr>
        <w:t xml:space="preserve">How we used it: </w:t>
      </w:r>
      <w:r>
        <w:rPr>
          <w:sz w:val="20"/>
          <w:szCs w:val="20"/>
        </w:rPr>
        <w:t xml:space="preserve">Data center electricity rises from 415 TWh (2024) to ~945 TWh by 2030.</w:t>
      </w:r>
    </w:p>
    <w:p>
      <w:pPr>
        <w:spacing w:after="80"/>
        <w:ind w:left="600"/>
      </w:pPr>
      <w:hyperlink w:history="1" r:id="rId1cnanm1f4i2oqyxqa-b2s">
        <w:r>
          <w:rPr>
            <w:rStyle w:val="Hyperlink"/>
          </w:rPr>
          <w:t xml:space="preserve">https://datacenterdynamics.com/en/news/iea-data-center-energy-consumption-set-to-double-by-2030-to-945twh</w:t>
        </w:r>
      </w:hyperlink>
    </w:p>
    <w:p>
      <w:pPr>
        <w:keepNext/>
        <w:spacing w:after="40" w:before="160"/>
        <w:ind w:left="600" w:hanging="600"/>
      </w:pPr>
      <w:r>
        <w:rPr>
          <w:b/>
          <w:bCs/>
        </w:rPr>
        <w:t xml:space="preserve">[B4]	</w:t>
      </w:r>
      <w:r>
        <w:t xml:space="preserve">Data Center Frontier. How geothermal energy is gaining ground in AI data center power strategies.</w:t>
      </w:r>
    </w:p>
    <w:p>
      <w:pPr>
        <w:keepNext/>
        <w:spacing w:after="40"/>
        <w:ind w:left="600"/>
      </w:pPr>
      <w:r>
        <w:rPr>
          <w:b/>
          <w:bCs/>
          <w:color w:val="55636B"/>
          <w:sz w:val="20"/>
          <w:szCs w:val="20"/>
        </w:rPr>
        <w:t xml:space="preserve">Type: </w:t>
      </w:r>
      <w:r>
        <w:rPr>
          <w:color w:val="55636B"/>
          <w:sz w:val="20"/>
          <w:szCs w:val="20"/>
        </w:rPr>
        <w:t xml:space="preserve">Industry article</w:t>
      </w:r>
    </w:p>
    <w:p>
      <w:pPr>
        <w:keepNext/>
        <w:spacing w:after="40"/>
        <w:ind w:left="600"/>
      </w:pPr>
      <w:r>
        <w:rPr>
          <w:b/>
          <w:bCs/>
          <w:color w:val="C2662D"/>
          <w:sz w:val="20"/>
          <w:szCs w:val="20"/>
        </w:rPr>
        <w:t xml:space="preserve">How we used it: </w:t>
      </w:r>
      <w:r>
        <w:rPr>
          <w:sz w:val="20"/>
          <w:szCs w:val="20"/>
        </w:rPr>
        <w:t xml:space="preserve">Geothermal for AI data centers is mostly about power today; direct ground cooling at AI scale is still modelled or planned.</w:t>
      </w:r>
    </w:p>
    <w:p>
      <w:pPr>
        <w:spacing w:after="80"/>
        <w:ind w:left="600"/>
      </w:pPr>
      <w:hyperlink w:history="1" r:id="rIdgarg9ykrw4y9uvcxaqu2q">
        <w:r>
          <w:rPr>
            <w:rStyle w:val="Hyperlink"/>
          </w:rPr>
          <w:t xml:space="preserve">https://www.datacenterfrontier.com/energy/article/55339222/how-geothermal-energy-is-gaining-ground-in-ai-data-center-power-strategies</w:t>
        </w:r>
      </w:hyperlink>
    </w:p>
    <w:p>
      <w:pPr>
        <w:keepNext/>
        <w:spacing w:after="40" w:before="160"/>
        <w:ind w:left="600" w:hanging="600"/>
      </w:pPr>
      <w:r>
        <w:rPr>
          <w:b/>
          <w:bCs/>
        </w:rPr>
        <w:t xml:space="preserve">[B5]	</w:t>
      </w:r>
      <w:r>
        <w:t xml:space="preserve">EEPower. Can underground aquifers provide data center cooling?</w:t>
      </w:r>
    </w:p>
    <w:p>
      <w:pPr>
        <w:keepNext/>
        <w:spacing w:after="40"/>
        <w:ind w:left="600"/>
      </w:pPr>
      <w:r>
        <w:rPr>
          <w:b/>
          <w:bCs/>
          <w:color w:val="55636B"/>
          <w:sz w:val="20"/>
          <w:szCs w:val="20"/>
        </w:rPr>
        <w:t xml:space="preserve">Type: </w:t>
      </w:r>
      <w:r>
        <w:rPr>
          <w:color w:val="55636B"/>
          <w:sz w:val="20"/>
          <w:szCs w:val="20"/>
        </w:rPr>
        <w:t xml:space="preserve">Industry article</w:t>
      </w:r>
    </w:p>
    <w:p>
      <w:pPr>
        <w:keepNext/>
        <w:spacing w:after="40"/>
        <w:ind w:left="600"/>
      </w:pPr>
      <w:r>
        <w:rPr>
          <w:b/>
          <w:bCs/>
          <w:color w:val="C2662D"/>
          <w:sz w:val="20"/>
          <w:szCs w:val="20"/>
        </w:rPr>
        <w:t xml:space="preserve">How we used it: </w:t>
      </w:r>
      <w:r>
        <w:rPr>
          <w:sz w:val="20"/>
          <w:szCs w:val="20"/>
        </w:rPr>
        <w:t xml:space="preserve">How aquifer thermal storage works, with its barriers: up-front cost, geology studies, well clogging.</w:t>
      </w:r>
    </w:p>
    <w:p>
      <w:pPr>
        <w:spacing w:after="80"/>
        <w:ind w:left="600"/>
      </w:pPr>
      <w:hyperlink w:history="1" r:id="rId0-2sqq_wbyqob5q1mdhf_">
        <w:r>
          <w:rPr>
            <w:rStyle w:val="Hyperlink"/>
          </w:rPr>
          <w:t xml:space="preserve">https://eepower.com/tech-insights/can-underground-aquifers-provide-data-center-cooling/</w:t>
        </w:r>
      </w:hyperlink>
    </w:p>
    <w:p>
      <w:pPr>
        <w:pStyle w:val="Heading1"/>
      </w:pPr>
      <w:r>
        <w:t xml:space="preserve">Where our own numbers come from</w:t>
      </w:r>
    </w:p>
    <w:p>
      <w:pPr>
        <w:spacing w:after="120"/>
      </w:pPr>
      <w:r>
        <w:t xml:space="preserve">Figures such as 4.3× less energy per token, PUE 1.09, 194 MW and 4.45B users are outputs of our digital twin, using the sources above as inputs. Hardware prices, peak-to-average load, build cost, river and aquifer capacities and orbital mass per kW are our estimates and are editable in the live demo.</w:t>
      </w:r>
    </w:p>
    <w:p>
      <w:pPr>
        <w:spacing w:after="120"/>
      </w:pPr>
      <w:r>
        <w:t xml:space="preserve">Live demo: </w:t>
      </w:r>
      <w:hyperlink w:history="1" r:id="rIdz1p4nlktiaof7nmndf-j_">
        <w:r>
          <w:rPr>
            <w:rStyle w:val="Hyperlink"/>
          </w:rPr>
          <w:t xml:space="preserve">kalyanig-personal.github.io/cambridge-token-factory</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636B"/>
        <w:sz w:val="16"/>
        <w:szCs w:val="16"/>
      </w:rPr>
      <w:t xml:space="preserve">Cambridge Underground Token Factory · Research and citations · </w:t>
    </w:r>
    <w:r>
      <w:rPr>
        <w:color w:val="55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B2328"/>
      <w:sz w:val="44"/>
      <w:szCs w:val="44"/>
    </w:rPr>
  </w:style>
  <w:style w:type="paragraph" w:styleId="Heading1">
    <w:name w:val="Heading 1"/>
    <w:basedOn w:val="Normal"/>
    <w:next w:val="Normal"/>
    <w:qFormat/>
    <w:pPr>
      <w:keepNext/>
      <w:spacing w:after="100" w:before="320"/>
      <w:outlineLvl w:val="0"/>
    </w:pPr>
    <w:rPr>
      <w:rFonts w:ascii="Cambria" w:cs="Cambria" w:eastAsia="Cambria" w:hAnsi="Cambria"/>
      <w:b/>
      <w:bCs/>
      <w:color w:val="C2662D"/>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1hg6aaic963p7v3tjre6" Type="http://schemas.openxmlformats.org/officeDocument/2006/relationships/hyperlink" Target="https://acris.aalto.fi/ws/portalfiles/portal/124210750/1_s2.0_S1364032123006342_main.pdf" TargetMode="External"/><Relationship Id="rIdh9kwl7lmxwttgpbmua_o0" Type="http://schemas.openxmlformats.org/officeDocument/2006/relationships/hyperlink" Target="https://ornl.gov/publication/district-heating-utilizing-waste-heat-data-center-high-temperature-heat-pumps" TargetMode="External"/><Relationship Id="rId7nzs4ydp3wk4gbrd4jubt" Type="http://schemas.openxmlformats.org/officeDocument/2006/relationships/hyperlink" Target="https://doi.org/10.1016/j.apenergy.2025.125858" TargetMode="External"/><Relationship Id="rIdgyxa6k6q5bwijjoli5psa" Type="http://schemas.openxmlformats.org/officeDocument/2006/relationships/hyperlink" Target="https://news.microsoft.com/source/features/sustainability/microsoft-quantifies-environmental-impacts-of-datacenter-cooling-from-cradle-to-grave-in-new-nature-study/" TargetMode="External"/><Relationship Id="rIdeaxkfz2wlwomdms6myzdt" Type="http://schemas.openxmlformats.org/officeDocument/2006/relationships/hyperlink" Target="https://www.nature.com/nature-index/article/10.1016/j.apenergy.2025.126984" TargetMode="External"/><Relationship Id="rIdqw5y_1uzpv__wyqv6ru66" Type="http://schemas.openxmlformats.org/officeDocument/2006/relationships/hyperlink" Target="https://arxiv.org/html/2304.03271v5" TargetMode="External"/><Relationship Id="rIdzzi4cqcu_k50ozijsmdfd" Type="http://schemas.openxmlformats.org/officeDocument/2006/relationships/hyperlink" Target="https://arxiv.org/html/2502.01671v1" TargetMode="External"/><Relationship Id="rId6ondd8ys8txhektkltn66" Type="http://schemas.openxmlformats.org/officeDocument/2006/relationships/hyperlink" Target="https://arxiv.org/pdf/2506.08686" TargetMode="External"/><Relationship Id="rId2eperz_9gcg7pwfgxq6a2" Type="http://schemas.openxmlformats.org/officeDocument/2006/relationships/hyperlink" Target="https://www.computing.co.uk/news/2025/ai/openai-reveals-what-chatgpt-users-look-for" TargetMode="External"/><Relationship Id="rIdhio3wiikpnfiemhksfd7b" Type="http://schemas.openxmlformats.org/officeDocument/2006/relationships/hyperlink" Target="https://code.claude.com/docs/en/costs" TargetMode="External"/><Relationship Id="rIdl35t_ovw7d5liv-egjj3w" Type="http://schemas.openxmlformats.org/officeDocument/2006/relationships/hyperlink" Target="https://www.stlouisfed.org/on-the-economy/2025/feb/impact-generative-ai-work-productivity" TargetMode="External"/><Relationship Id="rIdqfjb568urn24q-prvvary" Type="http://schemas.openxmlformats.org/officeDocument/2006/relationships/hyperlink" Target="https://blog.google/innovation-and-ai/sundar-pichai-io-2026/" TargetMode="External"/><Relationship Id="rIdhaidpp2xa-3kb_4lonmag" Type="http://schemas.openxmlformats.org/officeDocument/2006/relationships/hyperlink" Target="https://www.canarymedia.com/articles/clean-energy/what-24-7-carbon-free-energy-can-achieve-over-the-long-term" TargetMode="External"/><Relationship Id="rIdmsvn9hubdwsh5gbf1jqlv" Type="http://schemas.openxmlformats.org/officeDocument/2006/relationships/hyperlink" Target="https://www.powermag.com/duke-researchers-grid-flexibility-key-to-accommodate-load-growth" TargetMode="External"/><Relationship Id="rIdfbiwngzotocaivqivgado" Type="http://schemas.openxmlformats.org/officeDocument/2006/relationships/hyperlink" Target="https://web.mit.edu/facilities/about/utilities/cup.html" TargetMode="External"/><Relationship Id="rIdnquuk3jw9m0va_gclbyj5" Type="http://schemas.openxmlformats.org/officeDocument/2006/relationships/hyperlink" Target="https://news.mit.edu/index%2Ephp/2017/mass-department-environmental-protection-set-to-approve-central-utilities-plant-upgrade-0503" TargetMode="External"/><Relationship Id="rIdgpfvkov9bppd_ysh-mdfa" Type="http://schemas.openxmlformats.org/officeDocument/2006/relationships/hyperlink" Target="https://sustainability.mit.edu/sites/default/files/2024-01/MIT%20Decarb%20District%20Energy%20Poster%202023-10-25%5B83%5D.pdf" TargetMode="External"/><Relationship Id="rIditfyaopcl9dt7kxc1rbyz" Type="http://schemas.openxmlformats.org/officeDocument/2006/relationships/hyperlink" Target="https://www.ramboll.com/projects/energy/meta-surplus-heat-to-district-heating" TargetMode="External"/><Relationship Id="rIdfwvjg1gpkxmfyz27jqf-a" Type="http://schemas.openxmlformats.org/officeDocument/2006/relationships/hyperlink" Target="https://www.networkworld.com/article/769469/green-it-22-stories-underground-iron-mountain-s-experimental-room-48.html" TargetMode="External"/><Relationship Id="rIdos8byx1pdyg7lqjbsi0ds" Type="http://schemas.openxmlformats.org/officeDocument/2006/relationships/hyperlink" Target="https://www.datacenterdynamics.com/en/opinions/secrets-of-norways-green-labyrinth/" TargetMode="External"/><Relationship Id="rIdsttre4n6dyvzcqlnwsk_g" Type="http://schemas.openxmlformats.org/officeDocument/2006/relationships/hyperlink" Target="https://www.eurelectric.org/stories/microsoft-data-centers-provide-40-of-fortums-electricity-based-district-heating-in-espoo-finland/" TargetMode="External"/><Relationship Id="rId-hzv0dbimfrejwofuim7f" Type="http://schemas.openxmlformats.org/officeDocument/2006/relationships/hyperlink" Target="https://www.hpcwire.com/2023/01/27/pfas-regulations-3m-exit-to-impact-two-phase-cooling-in-hpc/" TargetMode="External"/><Relationship Id="rIdo3fj-rtbiymcyioiwmjx9" Type="http://schemas.openxmlformats.org/officeDocument/2006/relationships/hyperlink" Target="https://www.districtenergy.org/blogs/district-energy/2022/09/27/how-mit-is-working-to-reduce-carbon-emissions-on-o" TargetMode="External"/><Relationship Id="rIdsfyra0fp3wcjxj4xjpzmo" Type="http://schemas.openxmlformats.org/officeDocument/2006/relationships/hyperlink" Target="https://insideclimatenews.org/news/29012025/mit-decarbonization-thermal-energy-systems/" TargetMode="External"/><Relationship Id="rIdovdtfqlg4usnikpulnc2w" Type="http://schemas.openxmlformats.org/officeDocument/2006/relationships/hyperlink" Target="https://www.enr.com/articles/58524-cambridge-mass-cogeneration-plant-upgraded-with-42-mw-electric-boiler" TargetMode="External"/><Relationship Id="rIdptztc-x-a7vkyj6g1x9_u" Type="http://schemas.openxmlformats.org/officeDocument/2006/relationships/hyperlink" Target="https://pv-magazine-usa.com/2025/11/06/work-underway-on-river-heat-pump-complex-in-massachusetts/" TargetMode="External"/><Relationship Id="rIdmazsj7f6-jytk_dqwhru2" Type="http://schemas.openxmlformats.org/officeDocument/2006/relationships/hyperlink" Target="https://lass.cs.umass.edu/papers/pdf/eurosys24-shiftinglimitations.pdf" TargetMode="External"/><Relationship Id="rIdormhonwt3zkphikli0zic" Type="http://schemas.openxmlformats.org/officeDocument/2006/relationships/hyperlink" Target="https://arxiv.org/abs/2508.15734" TargetMode="External"/><Relationship Id="rId1cnanm1f4i2oqyxqa-b2s" Type="http://schemas.openxmlformats.org/officeDocument/2006/relationships/hyperlink" Target="https://datacenterdynamics.com/en/news/iea-data-center-energy-consumption-set-to-double-by-2030-to-945twh" TargetMode="External"/><Relationship Id="rIdgarg9ykrw4y9uvcxaqu2q" Type="http://schemas.openxmlformats.org/officeDocument/2006/relationships/hyperlink" Target="https://www.datacenterfrontier.com/energy/article/55339222/how-geothermal-energy-is-gaining-ground-in-ai-data-center-power-strategies" TargetMode="External"/><Relationship Id="rId0-2sqq_wbyqob5q1mdhf_" Type="http://schemas.openxmlformats.org/officeDocument/2006/relationships/hyperlink" Target="https://eepower.com/tech-insights/can-underground-aquifers-provide-data-center-cooling/" TargetMode="External"/><Relationship Id="rIdz1p4nlktiaof7nmndf-j_" Type="http://schemas.openxmlformats.org/officeDocument/2006/relationships/hyperlink" Target="https://kalyanig-personal.github.io/cambridge-token-factory/"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Papers and Citations: Cambridge Underground Token Factory</dc:title>
  <dc:creator>Team Token Factory</dc:creator>
  <cp:lastModifiedBy>Un-named</cp:lastModifiedBy>
  <cp:revision>1</cp:revision>
  <dcterms:created xsi:type="dcterms:W3CDTF">2026-10-18T20:14:17.205Z</dcterms:created>
  <dcterms:modified xsi:type="dcterms:W3CDTF">2026-10-18T20:14:17.206Z</dcterms:modified>
</cp:coreProperties>
</file>

<file path=docProps/custom.xml><?xml version="1.0" encoding="utf-8"?>
<Properties xmlns="http://schemas.openxmlformats.org/officeDocument/2006/custom-properties" xmlns:vt="http://schemas.openxmlformats.org/officeDocument/2006/docPropsVTypes"/>
</file>