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Research Papers and Citations</w:t>
      </w:r>
    </w:p>
    <w:p>
      <w:pPr>
        <w:spacing w:after="120"/>
      </w:pPr>
      <w:r>
        <w:rPr>
          <w:color w:val="55636B"/>
        </w:rPr>
        <w:t xml:space="preserve">Cambridge Underground Token Factory · SundAI × MIT AI Hackathon, Track 1 · October 2026</w:t>
      </w:r>
    </w:p>
    <w:p>
      <w:pPr>
        <w:spacing w:after="120"/>
      </w:pPr>
      <w:r>
        <w:t xml:space="preserve">Every source behind the idea, the demo and the pitch. Numbers in brackets match the pitch deck, the playbook and the GitHub README. Each entry says what kind of source it is and what we used it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560"/>
        <w:gridCol w:w="3120"/>
      </w:tblGrid>
      <w:tr>
        <w:trPr>
          <w:tblHeader/>
        </w:trPr>
        <w:tc>
          <w:tcPr>
            <w:tcW w:type="dxa" w:w="4680"/>
            <w:tcBorders>
              <w:top w:val="single" w:color="D3DBDF" w:sz="4"/>
              <w:left w:val="single" w:color="D3DBDF" w:sz="4"/>
              <w:bottom w:val="single" w:color="D3DBDF" w:sz="4"/>
              <w:right w:val="single" w:color="D3DBDF" w:sz="4"/>
            </w:tcBorders>
            <w:shd w:fill="1B2328" w:color="auto" w:val="clear"/>
            <w:tcMar>
              <w:top w:type="dxa" w:w="80"/>
              <w:left w:type="dxa" w:w="110"/>
              <w:bottom w:type="dxa" w:w="80"/>
              <w:right w:type="dxa" w:w="110"/>
            </w:tcMar>
          </w:tcPr>
          <w:p>
            <w:pPr>
              <w:spacing w:after="0"/>
            </w:pPr>
            <w:r>
              <w:rPr>
                <w:b/>
                <w:bCs/>
                <w:color w:val="FFFFFF"/>
                <w:sz w:val="20"/>
                <w:szCs w:val="20"/>
              </w:rPr>
              <w:t xml:space="preserve">Source type</w:t>
            </w:r>
          </w:p>
        </w:tc>
        <w:tc>
          <w:tcPr>
            <w:tcW w:type="dxa" w:w="1560"/>
            <w:tcBorders>
              <w:top w:val="single" w:color="D3DBDF" w:sz="4"/>
              <w:left w:val="single" w:color="D3DBDF" w:sz="4"/>
              <w:bottom w:val="single" w:color="D3DBDF" w:sz="4"/>
              <w:right w:val="single" w:color="D3DBDF" w:sz="4"/>
            </w:tcBorders>
            <w:shd w:fill="1B2328" w:color="auto" w:val="clear"/>
            <w:tcMar>
              <w:top w:type="dxa" w:w="80"/>
              <w:left w:type="dxa" w:w="110"/>
              <w:bottom w:type="dxa" w:w="80"/>
              <w:right w:type="dxa" w:w="110"/>
            </w:tcMar>
          </w:tcPr>
          <w:p>
            <w:pPr>
              <w:spacing w:after="0"/>
            </w:pPr>
            <w:r>
              <w:rPr>
                <w:b/>
                <w:bCs/>
                <w:color w:val="FFFFFF"/>
                <w:sz w:val="20"/>
                <w:szCs w:val="20"/>
              </w:rPr>
              <w:t xml:space="preserve">Count</w:t>
            </w:r>
          </w:p>
        </w:tc>
        <w:tc>
          <w:tcPr>
            <w:tcW w:type="dxa" w:w="3120"/>
            <w:tcBorders>
              <w:top w:val="single" w:color="D3DBDF" w:sz="4"/>
              <w:left w:val="single" w:color="D3DBDF" w:sz="4"/>
              <w:bottom w:val="single" w:color="D3DBDF" w:sz="4"/>
              <w:right w:val="single" w:color="D3DBDF" w:sz="4"/>
            </w:tcBorders>
            <w:shd w:fill="1B2328" w:color="auto" w:val="clear"/>
            <w:tcMar>
              <w:top w:type="dxa" w:w="80"/>
              <w:left w:type="dxa" w:w="110"/>
              <w:bottom w:type="dxa" w:w="80"/>
              <w:right w:type="dxa" w:w="110"/>
            </w:tcMar>
          </w:tcPr>
          <w:p>
            <w:pPr>
              <w:spacing w:after="0"/>
            </w:pPr>
            <w:r>
              <w:rPr>
                <w:b/>
                <w:bCs/>
                <w:color w:val="FFFFFF"/>
                <w:sz w:val="20"/>
                <w:szCs w:val="20"/>
              </w:rPr>
              <w:t xml:space="preserve">Refs</w:t>
            </w:r>
          </w:p>
        </w:tc>
      </w:tr>
      <w:tr>
        <w:trPr>
          <w:tblHeader w:val="false"/>
        </w:trPr>
        <w:tc>
          <w:tcPr>
            <w:tcW w:type="dxa" w:w="4680"/>
            <w:tcBorders>
              <w:top w:val="single" w:color="D3DBDF" w:sz="4"/>
              <w:left w:val="single" w:color="D3DBDF" w:sz="4"/>
              <w:bottom w:val="single" w:color="D3DBDF" w:sz="4"/>
              <w:right w:val="single" w:color="D3DBDF" w:sz="4"/>
            </w:tcBorders>
            <w:tcMar>
              <w:top w:type="dxa" w:w="80"/>
              <w:left w:type="dxa" w:w="110"/>
              <w:bottom w:type="dxa" w:w="80"/>
              <w:right w:type="dxa" w:w="110"/>
            </w:tcMar>
          </w:tcPr>
          <w:p>
            <w:pPr>
              <w:spacing w:after="0"/>
            </w:pPr>
            <w:r>
              <w:rPr>
                <w:b w:val="false"/>
                <w:bCs w:val="false"/>
                <w:color w:val="1B2328"/>
                <w:sz w:val="20"/>
                <w:szCs w:val="20"/>
              </w:rPr>
              <w:t xml:space="preserve">Peer-reviewed journal articles</w:t>
            </w:r>
          </w:p>
        </w:tc>
        <w:tc>
          <w:tcPr>
            <w:tcW w:type="dxa" w:w="1560"/>
            <w:tcBorders>
              <w:top w:val="single" w:color="D3DBDF" w:sz="4"/>
              <w:left w:val="single" w:color="D3DBDF" w:sz="4"/>
              <w:bottom w:val="single" w:color="D3DBDF" w:sz="4"/>
              <w:right w:val="single" w:color="D3DBDF" w:sz="4"/>
            </w:tcBorders>
            <w:tcMar>
              <w:top w:type="dxa" w:w="80"/>
              <w:left w:type="dxa" w:w="110"/>
              <w:bottom w:type="dxa" w:w="80"/>
              <w:right w:type="dxa" w:w="110"/>
            </w:tcMar>
          </w:tcPr>
          <w:p>
            <w:pPr>
              <w:spacing w:after="0"/>
            </w:pPr>
            <w:r>
              <w:rPr>
                <w:b w:val="false"/>
                <w:bCs w:val="false"/>
                <w:color w:val="1B2328"/>
                <w:sz w:val="20"/>
                <w:szCs w:val="20"/>
              </w:rPr>
              <w:t xml:space="preserve">5</w:t>
            </w:r>
          </w:p>
        </w:tc>
        <w:tc>
          <w:tcPr>
            <w:tcW w:type="dxa" w:w="3120"/>
            <w:tcBorders>
              <w:top w:val="single" w:color="D3DBDF" w:sz="4"/>
              <w:left w:val="single" w:color="D3DBDF" w:sz="4"/>
              <w:bottom w:val="single" w:color="D3DBDF" w:sz="4"/>
              <w:right w:val="single" w:color="D3DBDF" w:sz="4"/>
            </w:tcBorders>
            <w:tcMar>
              <w:top w:type="dxa" w:w="80"/>
              <w:left w:type="dxa" w:w="110"/>
              <w:bottom w:type="dxa" w:w="80"/>
              <w:right w:type="dxa" w:w="110"/>
            </w:tcMar>
          </w:tcPr>
          <w:p>
            <w:pPr>
              <w:spacing w:after="0"/>
            </w:pPr>
            <w:r>
              <w:rPr>
                <w:b w:val="false"/>
                <w:bCs w:val="false"/>
                <w:color w:val="1B2328"/>
                <w:sz w:val="20"/>
                <w:szCs w:val="20"/>
              </w:rPr>
              <w:t xml:space="preserve">[1] [2] [3] [4] [5]</w:t>
            </w:r>
          </w:p>
        </w:tc>
      </w:tr>
      <w:tr>
        <w:trPr>
          <w:tblHeader w:val="false"/>
        </w:trPr>
        <w:tc>
          <w:tcPr>
            <w:tcW w:type="dxa" w:w="4680"/>
            <w:tcBorders>
              <w:top w:val="single" w:color="D3DBDF" w:sz="4"/>
              <w:left w:val="single" w:color="D3DBDF" w:sz="4"/>
              <w:bottom w:val="single" w:color="D3DBDF" w:sz="4"/>
              <w:right w:val="single" w:color="D3DBDF" w:sz="4"/>
            </w:tcBorders>
            <w:shd w:fill="EEF2F3" w:color="auto" w:val="clear"/>
            <w:tcMar>
              <w:top w:type="dxa" w:w="80"/>
              <w:left w:type="dxa" w:w="110"/>
              <w:bottom w:type="dxa" w:w="80"/>
              <w:right w:type="dxa" w:w="110"/>
            </w:tcMar>
          </w:tcPr>
          <w:p>
            <w:pPr>
              <w:spacing w:after="0"/>
            </w:pPr>
            <w:r>
              <w:rPr>
                <w:b w:val="false"/>
                <w:bCs w:val="false"/>
                <w:color w:val="1B2328"/>
                <w:sz w:val="20"/>
                <w:szCs w:val="20"/>
              </w:rPr>
              <w:t xml:space="preserve">Preprints</w:t>
            </w:r>
          </w:p>
        </w:tc>
        <w:tc>
          <w:tcPr>
            <w:tcW w:type="dxa" w:w="1560"/>
            <w:tcBorders>
              <w:top w:val="single" w:color="D3DBDF" w:sz="4"/>
              <w:left w:val="single" w:color="D3DBDF" w:sz="4"/>
              <w:bottom w:val="single" w:color="D3DBDF" w:sz="4"/>
              <w:right w:val="single" w:color="D3DBDF" w:sz="4"/>
            </w:tcBorders>
            <w:shd w:fill="EEF2F3" w:color="auto" w:val="clear"/>
            <w:tcMar>
              <w:top w:type="dxa" w:w="80"/>
              <w:left w:type="dxa" w:w="110"/>
              <w:bottom w:type="dxa" w:w="80"/>
              <w:right w:type="dxa" w:w="110"/>
            </w:tcMar>
          </w:tcPr>
          <w:p>
            <w:pPr>
              <w:spacing w:after="0"/>
            </w:pPr>
            <w:r>
              <w:rPr>
                <w:b w:val="false"/>
                <w:bCs w:val="false"/>
                <w:color w:val="1B2328"/>
                <w:sz w:val="20"/>
                <w:szCs w:val="20"/>
              </w:rPr>
              <w:t xml:space="preserve">3</w:t>
            </w:r>
          </w:p>
        </w:tc>
        <w:tc>
          <w:tcPr>
            <w:tcW w:type="dxa" w:w="3120"/>
            <w:tcBorders>
              <w:top w:val="single" w:color="D3DBDF" w:sz="4"/>
              <w:left w:val="single" w:color="D3DBDF" w:sz="4"/>
              <w:bottom w:val="single" w:color="D3DBDF" w:sz="4"/>
              <w:right w:val="single" w:color="D3DBDF" w:sz="4"/>
            </w:tcBorders>
            <w:shd w:fill="EEF2F3" w:color="auto" w:val="clear"/>
            <w:tcMar>
              <w:top w:type="dxa" w:w="80"/>
              <w:left w:type="dxa" w:w="110"/>
              <w:bottom w:type="dxa" w:w="80"/>
              <w:right w:type="dxa" w:w="110"/>
            </w:tcMar>
          </w:tcPr>
          <w:p>
            <w:pPr>
              <w:spacing w:after="0"/>
            </w:pPr>
            <w:r>
              <w:rPr>
                <w:b w:val="false"/>
                <w:bCs w:val="false"/>
                <w:color w:val="1B2328"/>
                <w:sz w:val="20"/>
                <w:szCs w:val="20"/>
              </w:rPr>
              <w:t xml:space="preserve">[6] [7] [8]</w:t>
            </w:r>
          </w:p>
        </w:tc>
      </w:tr>
      <w:tr>
        <w:trPr>
          <w:tblHeader w:val="false"/>
        </w:trPr>
        <w:tc>
          <w:tcPr>
            <w:tcW w:type="dxa" w:w="4680"/>
            <w:tcBorders>
              <w:top w:val="single" w:color="D3DBDF" w:sz="4"/>
              <w:left w:val="single" w:color="D3DBDF" w:sz="4"/>
              <w:bottom w:val="single" w:color="D3DBDF" w:sz="4"/>
              <w:right w:val="single" w:color="D3DBDF" w:sz="4"/>
            </w:tcBorders>
            <w:tcMar>
              <w:top w:type="dxa" w:w="80"/>
              <w:left w:type="dxa" w:w="110"/>
              <w:bottom w:type="dxa" w:w="80"/>
              <w:right w:type="dxa" w:w="110"/>
            </w:tcMar>
          </w:tcPr>
          <w:p>
            <w:pPr>
              <w:spacing w:after="0"/>
            </w:pPr>
            <w:r>
              <w:rPr>
                <w:b w:val="false"/>
                <w:bCs w:val="false"/>
                <w:color w:val="1B2328"/>
                <w:sz w:val="20"/>
                <w:szCs w:val="20"/>
              </w:rPr>
              <w:t xml:space="preserve">Reports, official data and documentation</w:t>
            </w:r>
          </w:p>
        </w:tc>
        <w:tc>
          <w:tcPr>
            <w:tcW w:type="dxa" w:w="1560"/>
            <w:tcBorders>
              <w:top w:val="single" w:color="D3DBDF" w:sz="4"/>
              <w:left w:val="single" w:color="D3DBDF" w:sz="4"/>
              <w:bottom w:val="single" w:color="D3DBDF" w:sz="4"/>
              <w:right w:val="single" w:color="D3DBDF" w:sz="4"/>
            </w:tcBorders>
            <w:tcMar>
              <w:top w:type="dxa" w:w="80"/>
              <w:left w:type="dxa" w:w="110"/>
              <w:bottom w:type="dxa" w:w="80"/>
              <w:right w:type="dxa" w:w="110"/>
            </w:tcMar>
          </w:tcPr>
          <w:p>
            <w:pPr>
              <w:spacing w:after="0"/>
            </w:pPr>
            <w:r>
              <w:rPr>
                <w:b w:val="false"/>
                <w:bCs w:val="false"/>
                <w:color w:val="1B2328"/>
                <w:sz w:val="20"/>
                <w:szCs w:val="20"/>
              </w:rPr>
              <w:t xml:space="preserve">6</w:t>
            </w:r>
          </w:p>
        </w:tc>
        <w:tc>
          <w:tcPr>
            <w:tcW w:type="dxa" w:w="3120"/>
            <w:tcBorders>
              <w:top w:val="single" w:color="D3DBDF" w:sz="4"/>
              <w:left w:val="single" w:color="D3DBDF" w:sz="4"/>
              <w:bottom w:val="single" w:color="D3DBDF" w:sz="4"/>
              <w:right w:val="single" w:color="D3DBDF" w:sz="4"/>
            </w:tcBorders>
            <w:tcMar>
              <w:top w:type="dxa" w:w="80"/>
              <w:left w:type="dxa" w:w="110"/>
              <w:bottom w:type="dxa" w:w="80"/>
              <w:right w:type="dxa" w:w="110"/>
            </w:tcMar>
          </w:tcPr>
          <w:p>
            <w:pPr>
              <w:spacing w:after="0"/>
            </w:pPr>
            <w:r>
              <w:rPr>
                <w:b w:val="false"/>
                <w:bCs w:val="false"/>
                <w:color w:val="1B2328"/>
                <w:sz w:val="20"/>
                <w:szCs w:val="20"/>
              </w:rPr>
              <w:t xml:space="preserve">[9] [10] [11] [12] [13] [14]</w:t>
            </w:r>
          </w:p>
        </w:tc>
      </w:tr>
      <w:tr>
        <w:trPr>
          <w:tblHeader w:val="false"/>
        </w:trPr>
        <w:tc>
          <w:tcPr>
            <w:tcW w:type="dxa" w:w="4680"/>
            <w:tcBorders>
              <w:top w:val="single" w:color="D3DBDF" w:sz="4"/>
              <w:left w:val="single" w:color="D3DBDF" w:sz="4"/>
              <w:bottom w:val="single" w:color="D3DBDF" w:sz="4"/>
              <w:right w:val="single" w:color="D3DBDF" w:sz="4"/>
            </w:tcBorders>
            <w:shd w:fill="EEF2F3" w:color="auto" w:val="clear"/>
            <w:tcMar>
              <w:top w:type="dxa" w:w="80"/>
              <w:left w:type="dxa" w:w="110"/>
              <w:bottom w:type="dxa" w:w="80"/>
              <w:right w:type="dxa" w:w="110"/>
            </w:tcMar>
          </w:tcPr>
          <w:p>
            <w:pPr>
              <w:spacing w:after="0"/>
            </w:pPr>
            <w:r>
              <w:rPr>
                <w:b w:val="false"/>
                <w:bCs w:val="false"/>
                <w:color w:val="1B2328"/>
                <w:sz w:val="20"/>
                <w:szCs w:val="20"/>
              </w:rPr>
              <w:t xml:space="preserve">Real-world examples (industry cases and news)</w:t>
            </w:r>
          </w:p>
        </w:tc>
        <w:tc>
          <w:tcPr>
            <w:tcW w:type="dxa" w:w="1560"/>
            <w:tcBorders>
              <w:top w:val="single" w:color="D3DBDF" w:sz="4"/>
              <w:left w:val="single" w:color="D3DBDF" w:sz="4"/>
              <w:bottom w:val="single" w:color="D3DBDF" w:sz="4"/>
              <w:right w:val="single" w:color="D3DBDF" w:sz="4"/>
            </w:tcBorders>
            <w:shd w:fill="EEF2F3" w:color="auto" w:val="clear"/>
            <w:tcMar>
              <w:top w:type="dxa" w:w="80"/>
              <w:left w:type="dxa" w:w="110"/>
              <w:bottom w:type="dxa" w:w="80"/>
              <w:right w:type="dxa" w:w="110"/>
            </w:tcMar>
          </w:tcPr>
          <w:p>
            <w:pPr>
              <w:spacing w:after="0"/>
            </w:pPr>
            <w:r>
              <w:rPr>
                <w:b w:val="false"/>
                <w:bCs w:val="false"/>
                <w:color w:val="1B2328"/>
                <w:sz w:val="20"/>
                <w:szCs w:val="20"/>
              </w:rPr>
              <w:t xml:space="preserve">5</w:t>
            </w:r>
          </w:p>
        </w:tc>
        <w:tc>
          <w:tcPr>
            <w:tcW w:type="dxa" w:w="3120"/>
            <w:tcBorders>
              <w:top w:val="single" w:color="D3DBDF" w:sz="4"/>
              <w:left w:val="single" w:color="D3DBDF" w:sz="4"/>
              <w:bottom w:val="single" w:color="D3DBDF" w:sz="4"/>
              <w:right w:val="single" w:color="D3DBDF" w:sz="4"/>
            </w:tcBorders>
            <w:shd w:fill="EEF2F3" w:color="auto" w:val="clear"/>
            <w:tcMar>
              <w:top w:type="dxa" w:w="80"/>
              <w:left w:type="dxa" w:w="110"/>
              <w:bottom w:type="dxa" w:w="80"/>
              <w:right w:type="dxa" w:w="110"/>
            </w:tcMar>
          </w:tcPr>
          <w:p>
            <w:pPr>
              <w:spacing w:after="0"/>
            </w:pPr>
            <w:r>
              <w:rPr>
                <w:b w:val="false"/>
                <w:bCs w:val="false"/>
                <w:color w:val="1B2328"/>
                <w:sz w:val="20"/>
                <w:szCs w:val="20"/>
              </w:rPr>
              <w:t xml:space="preserve">[15] [16] [17] [18] [19]</w:t>
            </w:r>
          </w:p>
        </w:tc>
      </w:tr>
      <w:tr>
        <w:trPr>
          <w:tblHeader w:val="false"/>
        </w:trPr>
        <w:tc>
          <w:tcPr>
            <w:tcW w:type="dxa" w:w="4680"/>
            <w:tcBorders>
              <w:top w:val="single" w:color="D3DBDF" w:sz="4"/>
              <w:left w:val="single" w:color="D3DBDF" w:sz="4"/>
              <w:bottom w:val="single" w:color="D3DBDF" w:sz="4"/>
              <w:right w:val="single" w:color="D3DBDF" w:sz="4"/>
            </w:tcBorders>
            <w:tcMar>
              <w:top w:type="dxa" w:w="80"/>
              <w:left w:type="dxa" w:w="110"/>
              <w:bottom w:type="dxa" w:w="80"/>
              <w:right w:type="dxa" w:w="110"/>
            </w:tcMar>
          </w:tcPr>
          <w:p>
            <w:pPr>
              <w:spacing w:after="0"/>
            </w:pPr>
            <w:r>
              <w:rPr>
                <w:b w:val="false"/>
                <w:bCs w:val="false"/>
                <w:color w:val="1B2328"/>
                <w:sz w:val="20"/>
                <w:szCs w:val="20"/>
              </w:rPr>
              <w:t xml:space="preserve">Background reading (not on slides)</w:t>
            </w:r>
          </w:p>
        </w:tc>
        <w:tc>
          <w:tcPr>
            <w:tcW w:type="dxa" w:w="1560"/>
            <w:tcBorders>
              <w:top w:val="single" w:color="D3DBDF" w:sz="4"/>
              <w:left w:val="single" w:color="D3DBDF" w:sz="4"/>
              <w:bottom w:val="single" w:color="D3DBDF" w:sz="4"/>
              <w:right w:val="single" w:color="D3DBDF" w:sz="4"/>
            </w:tcBorders>
            <w:tcMar>
              <w:top w:type="dxa" w:w="80"/>
              <w:left w:type="dxa" w:w="110"/>
              <w:bottom w:type="dxa" w:w="80"/>
              <w:right w:type="dxa" w:w="110"/>
            </w:tcMar>
          </w:tcPr>
          <w:p>
            <w:pPr>
              <w:spacing w:after="0"/>
            </w:pPr>
            <w:r>
              <w:rPr>
                <w:b w:val="false"/>
                <w:bCs w:val="false"/>
                <w:color w:val="1B2328"/>
                <w:sz w:val="20"/>
                <w:szCs w:val="20"/>
              </w:rPr>
              <w:t xml:space="preserve">5</w:t>
            </w:r>
          </w:p>
        </w:tc>
        <w:tc>
          <w:tcPr>
            <w:tcW w:type="dxa" w:w="3120"/>
            <w:tcBorders>
              <w:top w:val="single" w:color="D3DBDF" w:sz="4"/>
              <w:left w:val="single" w:color="D3DBDF" w:sz="4"/>
              <w:bottom w:val="single" w:color="D3DBDF" w:sz="4"/>
              <w:right w:val="single" w:color="D3DBDF" w:sz="4"/>
            </w:tcBorders>
            <w:tcMar>
              <w:top w:type="dxa" w:w="80"/>
              <w:left w:type="dxa" w:w="110"/>
              <w:bottom w:type="dxa" w:w="80"/>
              <w:right w:type="dxa" w:w="110"/>
            </w:tcMar>
          </w:tcPr>
          <w:p>
            <w:pPr>
              <w:spacing w:after="0"/>
            </w:pPr>
            <w:r>
              <w:rPr>
                <w:b w:val="false"/>
                <w:bCs w:val="false"/>
                <w:color w:val="1B2328"/>
                <w:sz w:val="20"/>
                <w:szCs w:val="20"/>
              </w:rPr>
              <w:t xml:space="preserve">B1–B5</w:t>
            </w:r>
          </w:p>
        </w:tc>
      </w:tr>
    </w:tbl>
    <w:p>
      <w:pPr>
        <w:spacing w:after="120"/>
      </w:pPr>
      <w:r>
        <w:t xml:space="preserve"/>
      </w:r>
    </w:p>
    <w:p>
      <w:pPr>
        <w:spacing w:after="120"/>
      </w:pPr>
      <w:r>
        <w:rPr>
          <w:b/>
          <w:bCs/>
        </w:rPr>
        <w:t xml:space="preserve">What the evidence does and does not prove. </w:t>
      </w:r>
      <w:r>
        <w:t xml:space="preserve">Each link of the design is supported: liquid cooling gives reusable heat [1], heat pumps lift it for district heating [2], aquifer storage beats chillers in summer [3], and real sites already run underground [16][17] or sell heat to homes [15][18]. No study or plant yet combines all of these at 100 MW under a city; our digital twin shows how they fit together.</w:t>
      </w:r>
    </w:p>
    <w:p>
      <w:pPr>
        <w:pStyle w:val="Heading1"/>
      </w:pPr>
      <w:r>
        <w:t xml:space="preserve">Peer-reviewed journal articles</w:t>
      </w:r>
    </w:p>
    <w:p>
      <w:pPr>
        <w:keepNext/>
        <w:spacing w:after="40" w:before="160"/>
        <w:ind w:left="600" w:hanging="600"/>
      </w:pPr>
      <w:r>
        <w:rPr>
          <w:b/>
          <w:bCs/>
        </w:rPr>
        <w:t xml:space="preserve">[1]	</w:t>
      </w:r>
      <w:r>
        <w:t xml:space="preserve">Yuan X., Liang Y., Hu X., Xu Y., Chen Y., Kosonen R. (2023). Waste heat recoveries in data centers: A review. Renewable and Sustainable Energy Reviews, 188, 113777.</w:t>
      </w:r>
    </w:p>
    <w:p>
      <w:pPr>
        <w:keepNext/>
        <w:spacing w:after="40"/>
        <w:ind w:left="600"/>
      </w:pPr>
      <w:r>
        <w:rPr>
          <w:b/>
          <w:bCs/>
          <w:color w:val="55636B"/>
          <w:sz w:val="20"/>
          <w:szCs w:val="20"/>
        </w:rPr>
        <w:t xml:space="preserve">Type: </w:t>
      </w:r>
      <w:r>
        <w:rPr>
          <w:color w:val="55636B"/>
          <w:sz w:val="20"/>
          <w:szCs w:val="20"/>
        </w:rPr>
        <w:t xml:space="preserve">Peer-reviewed journal article</w:t>
      </w:r>
    </w:p>
    <w:p>
      <w:pPr>
        <w:keepNext/>
        <w:spacing w:after="40"/>
        <w:ind w:left="600"/>
      </w:pPr>
      <w:r>
        <w:rPr>
          <w:b/>
          <w:bCs/>
          <w:color w:val="C2662D"/>
          <w:sz w:val="20"/>
          <w:szCs w:val="20"/>
        </w:rPr>
        <w:t xml:space="preserve">How we used it: </w:t>
      </w:r>
      <w:r>
        <w:rPr>
          <w:sz w:val="20"/>
          <w:szCs w:val="20"/>
        </w:rPr>
        <w:t xml:space="preserve">Liquid cooling returns 50–60 °C water, the most reusable heat; heat pumps and district heating are the best uses; Stockholm Data Parks example.</w:t>
      </w:r>
    </w:p>
    <w:p>
      <w:pPr>
        <w:spacing w:after="80"/>
        <w:ind w:left="600"/>
      </w:pPr>
      <w:hyperlink w:history="1" r:id="rIdbj2vpqxceixnzauna5u4p">
        <w:r>
          <w:rPr>
            <w:rStyle w:val="Hyperlink"/>
          </w:rPr>
          <w:t xml:space="preserve">https://acris.aalto.fi/ws/portalfiles/portal/124210750/1_s2.0_S1364032123006342_main.pdf</w:t>
        </w:r>
      </w:hyperlink>
    </w:p>
    <w:p>
      <w:pPr>
        <w:keepNext/>
        <w:spacing w:after="40" w:before="160"/>
        <w:ind w:left="600" w:hanging="600"/>
      </w:pPr>
      <w:r>
        <w:rPr>
          <w:b/>
          <w:bCs/>
        </w:rPr>
        <w:t xml:space="preserve">[2]	</w:t>
      </w:r>
      <w:r>
        <w:t xml:space="preserve">Wang P., Gao Z., Kowalski S.P., et al. (2024). District heating utilizing waste heat of a data center: High-temperature heat pumps. Energy and Buildings, 315, 114327. doi:10.1016/j.enbuild.2024.114327</w:t>
      </w:r>
    </w:p>
    <w:p>
      <w:pPr>
        <w:keepNext/>
        <w:spacing w:after="40"/>
        <w:ind w:left="600"/>
      </w:pPr>
      <w:r>
        <w:rPr>
          <w:b/>
          <w:bCs/>
          <w:color w:val="55636B"/>
          <w:sz w:val="20"/>
          <w:szCs w:val="20"/>
        </w:rPr>
        <w:t xml:space="preserve">Type: </w:t>
      </w:r>
      <w:r>
        <w:rPr>
          <w:color w:val="55636B"/>
          <w:sz w:val="20"/>
          <w:szCs w:val="20"/>
        </w:rPr>
        <w:t xml:space="preserve">Peer-reviewed journal article</w:t>
      </w:r>
    </w:p>
    <w:p>
      <w:pPr>
        <w:keepNext/>
        <w:spacing w:after="40"/>
        <w:ind w:left="600"/>
      </w:pPr>
      <w:r>
        <w:rPr>
          <w:b/>
          <w:bCs/>
          <w:color w:val="C2662D"/>
          <w:sz w:val="20"/>
          <w:szCs w:val="20"/>
        </w:rPr>
        <w:t xml:space="preserve">How we used it: </w:t>
      </w:r>
      <w:r>
        <w:rPr>
          <w:sz w:val="20"/>
          <w:szCs w:val="20"/>
        </w:rPr>
        <w:t xml:space="preserve">Heat pumps can lift data center heat to district-heating temperatures (up to 120 °C); ~85% less CO₂ than gas boilers.</w:t>
      </w:r>
    </w:p>
    <w:p>
      <w:pPr>
        <w:spacing w:after="80"/>
        <w:ind w:left="600"/>
      </w:pPr>
      <w:hyperlink w:history="1" r:id="rIdtk2o2whaiq54efnszf_1f">
        <w:r>
          <w:rPr>
            <w:rStyle w:val="Hyperlink"/>
          </w:rPr>
          <w:t xml:space="preserve">https://ornl.gov/publication/district-heating-utilizing-waste-heat-data-center-high-temperature-heat-pumps</w:t>
        </w:r>
      </w:hyperlink>
    </w:p>
    <w:p>
      <w:pPr>
        <w:keepNext/>
        <w:spacing w:after="40" w:before="160"/>
        <w:ind w:left="600" w:hanging="600"/>
      </w:pPr>
      <w:r>
        <w:rPr>
          <w:b/>
          <w:bCs/>
        </w:rPr>
        <w:t xml:space="preserve">[3]	</w:t>
      </w:r>
      <w:r>
        <w:t xml:space="preserve">Oh H., Sickinger D., Acero-Allard D. (2025). Techno-economic analysis of reservoir (aquifer) thermal energy storage for data center cooling. Applied Energy. Summary by the National Laboratory of the Rockies (formerly NREL).</w:t>
      </w:r>
    </w:p>
    <w:p>
      <w:pPr>
        <w:keepNext/>
        <w:spacing w:after="40"/>
        <w:ind w:left="600"/>
      </w:pPr>
      <w:r>
        <w:rPr>
          <w:b/>
          <w:bCs/>
          <w:color w:val="55636B"/>
          <w:sz w:val="20"/>
          <w:szCs w:val="20"/>
        </w:rPr>
        <w:t xml:space="preserve">Type: </w:t>
      </w:r>
      <w:r>
        <w:rPr>
          <w:color w:val="55636B"/>
          <w:sz w:val="20"/>
          <w:szCs w:val="20"/>
        </w:rPr>
        <w:t xml:space="preserve">Peer-reviewed journal article</w:t>
      </w:r>
    </w:p>
    <w:p>
      <w:pPr>
        <w:keepNext/>
        <w:spacing w:after="40"/>
        <w:ind w:left="600"/>
      </w:pPr>
      <w:r>
        <w:rPr>
          <w:b/>
          <w:bCs/>
          <w:color w:val="C2662D"/>
          <w:sz w:val="20"/>
          <w:szCs w:val="20"/>
        </w:rPr>
        <w:t xml:space="preserve">How we used it: </w:t>
      </w:r>
      <w:r>
        <w:rPr>
          <w:sz w:val="20"/>
          <w:szCs w:val="20"/>
        </w:rPr>
        <w:t xml:space="preserve">Aquifer (reservoir) storage cools ~7× more efficiently than chillers at summer peak (COP 16.5 vs 2.4); cooling cost $15 → $5 per MWh.</w:t>
      </w:r>
    </w:p>
    <w:p>
      <w:pPr>
        <w:spacing w:after="80"/>
        <w:ind w:left="600"/>
      </w:pPr>
      <w:hyperlink w:history="1" r:id="rId8uit9rnykcq__2bsyecr0">
        <w:r>
          <w:rPr>
            <w:rStyle w:val="Hyperlink"/>
          </w:rPr>
          <w:t xml:space="preserve">https://www.nrel.gov/grid/news/program/2025/nlr-analysis-identifies-reservoir-thermal-energy-storage-as-a-solution-for-data-center-cooling-needs</w:t>
        </w:r>
      </w:hyperlink>
    </w:p>
    <w:p>
      <w:pPr>
        <w:keepNext/>
        <w:spacing w:after="40" w:before="160"/>
        <w:ind w:left="600" w:hanging="600"/>
      </w:pPr>
      <w:r>
        <w:rPr>
          <w:b/>
          <w:bCs/>
        </w:rPr>
        <w:t xml:space="preserve">[4]	</w:t>
      </w:r>
      <w:r>
        <w:t xml:space="preserve">Microsoft researchers (2025). Using life cycle assessment to drive innovation for sustainable cool clouds. Nature. Summary by Microsoft.</w:t>
      </w:r>
    </w:p>
    <w:p>
      <w:pPr>
        <w:keepNext/>
        <w:spacing w:after="40"/>
        <w:ind w:left="600"/>
      </w:pPr>
      <w:r>
        <w:rPr>
          <w:b/>
          <w:bCs/>
          <w:color w:val="55636B"/>
          <w:sz w:val="20"/>
          <w:szCs w:val="20"/>
        </w:rPr>
        <w:t xml:space="preserve">Type: </w:t>
      </w:r>
      <w:r>
        <w:rPr>
          <w:color w:val="55636B"/>
          <w:sz w:val="20"/>
          <w:szCs w:val="20"/>
        </w:rPr>
        <w:t xml:space="preserve">Peer-reviewed journal article</w:t>
      </w:r>
    </w:p>
    <w:p>
      <w:pPr>
        <w:keepNext/>
        <w:spacing w:after="40"/>
        <w:ind w:left="600"/>
      </w:pPr>
      <w:r>
        <w:rPr>
          <w:b/>
          <w:bCs/>
          <w:color w:val="C2662D"/>
          <w:sz w:val="20"/>
          <w:szCs w:val="20"/>
        </w:rPr>
        <w:t xml:space="preserve">How we used it: </w:t>
      </w:r>
      <w:r>
        <w:rPr>
          <w:sz w:val="20"/>
          <w:szCs w:val="20"/>
        </w:rPr>
        <w:t xml:space="preserve">Cold plates and immersion cut life-cycle emissions 15–21%, energy 15–20% and water 31–52% versus air; 100% renewable power cuts emissions 85–90%.</w:t>
      </w:r>
    </w:p>
    <w:p>
      <w:pPr>
        <w:spacing w:after="80"/>
        <w:ind w:left="600"/>
      </w:pPr>
      <w:hyperlink w:history="1" r:id="rIdqseqpocsh0eqcclgq6e4y">
        <w:r>
          <w:rPr>
            <w:rStyle w:val="Hyperlink"/>
          </w:rPr>
          <w:t xml:space="preserve">https://news.microsoft.com/source/features/sustainability/microsoft-quantifies-environmental-impacts-of-datacenter-cooling-from-cradle-to-grave-in-new-nature-study/</w:t>
        </w:r>
      </w:hyperlink>
    </w:p>
    <w:p>
      <w:pPr>
        <w:keepNext/>
        <w:spacing w:after="40" w:before="160"/>
        <w:ind w:left="600" w:hanging="600"/>
      </w:pPr>
      <w:r>
        <w:rPr>
          <w:b/>
          <w:bCs/>
        </w:rPr>
        <w:t xml:space="preserve">[5]	</w:t>
      </w:r>
      <w:r>
        <w:t xml:space="preserve">Hong Kong Polytechnic University and Technical University of Denmark authors (2026). Physics-guided deep reinforcement learning for optimized data center cooling and waste heat recovery utilizing aquifer thermal energy storage. Applied Energy. doi:10.1016/j.apenergy.2025.126984</w:t>
      </w:r>
    </w:p>
    <w:p>
      <w:pPr>
        <w:keepNext/>
        <w:spacing w:after="40"/>
        <w:ind w:left="600"/>
      </w:pPr>
      <w:r>
        <w:rPr>
          <w:b/>
          <w:bCs/>
          <w:color w:val="55636B"/>
          <w:sz w:val="20"/>
          <w:szCs w:val="20"/>
        </w:rPr>
        <w:t xml:space="preserve">Type: </w:t>
      </w:r>
      <w:r>
        <w:rPr>
          <w:color w:val="55636B"/>
          <w:sz w:val="20"/>
          <w:szCs w:val="20"/>
        </w:rPr>
        <w:t xml:space="preserve">Peer-reviewed journal article</w:t>
      </w:r>
    </w:p>
    <w:p>
      <w:pPr>
        <w:keepNext/>
        <w:spacing w:after="40"/>
        <w:ind w:left="600"/>
      </w:pPr>
      <w:r>
        <w:rPr>
          <w:b/>
          <w:bCs/>
          <w:color w:val="C2662D"/>
          <w:sz w:val="20"/>
          <w:szCs w:val="20"/>
        </w:rPr>
        <w:t xml:space="preserve">How we used it: </w:t>
      </w:r>
      <w:r>
        <w:rPr>
          <w:sz w:val="20"/>
          <w:szCs w:val="20"/>
        </w:rPr>
        <w:t xml:space="preserve">Combines data center cooling, waste-heat recovery and aquifer storage in one controlled system.</w:t>
      </w:r>
    </w:p>
    <w:p>
      <w:pPr>
        <w:spacing w:after="80"/>
        <w:ind w:left="600"/>
      </w:pPr>
      <w:hyperlink w:history="1" r:id="rIdfdy9jmfvam8md9_9er22f">
        <w:r>
          <w:rPr>
            <w:rStyle w:val="Hyperlink"/>
          </w:rPr>
          <w:t xml:space="preserve">https://www.nature.com/nature-index/article/10.1016/j.apenergy.2025.126984</w:t>
        </w:r>
      </w:hyperlink>
    </w:p>
    <w:p>
      <w:pPr>
        <w:pStyle w:val="Heading1"/>
      </w:pPr>
      <w:r>
        <w:t xml:space="preserve">Preprints</w:t>
      </w:r>
    </w:p>
    <w:p>
      <w:pPr>
        <w:keepNext/>
        <w:spacing w:after="40" w:before="160"/>
        <w:ind w:left="600" w:hanging="600"/>
      </w:pPr>
      <w:r>
        <w:rPr>
          <w:b/>
          <w:bCs/>
        </w:rPr>
        <w:t xml:space="preserve">[6]	</w:t>
      </w:r>
      <w:r>
        <w:t xml:space="preserve">Li P., Yang J., Islam M.A., Ren S. Making AI Less “Thirsty”: Uncovering and Addressing the Secret Water Footprint of AI Models. arXiv:2304.03271.</w:t>
      </w:r>
    </w:p>
    <w:p>
      <w:pPr>
        <w:keepNext/>
        <w:spacing w:after="40"/>
        <w:ind w:left="600"/>
      </w:pPr>
      <w:r>
        <w:rPr>
          <w:b/>
          <w:bCs/>
          <w:color w:val="55636B"/>
          <w:sz w:val="20"/>
          <w:szCs w:val="20"/>
        </w:rPr>
        <w:t xml:space="preserve">Type: </w:t>
      </w:r>
      <w:r>
        <w:rPr>
          <w:color w:val="55636B"/>
          <w:sz w:val="20"/>
          <w:szCs w:val="20"/>
        </w:rPr>
        <w:t xml:space="preserve">Preprint (arXiv, not yet peer-reviewed)</w:t>
      </w:r>
    </w:p>
    <w:p>
      <w:pPr>
        <w:keepNext/>
        <w:spacing w:after="40"/>
        <w:ind w:left="600"/>
      </w:pPr>
      <w:r>
        <w:rPr>
          <w:b/>
          <w:bCs/>
          <w:color w:val="C2662D"/>
          <w:sz w:val="20"/>
          <w:szCs w:val="20"/>
        </w:rPr>
        <w:t xml:space="preserve">How we used it: </w:t>
      </w:r>
      <w:r>
        <w:rPr>
          <w:sz w:val="20"/>
          <w:szCs w:val="20"/>
        </w:rPr>
        <w:t xml:space="preserve">AI water footprint; evaporative cooling uses ~1–9 L per kWh on site, and power plants add ~3 L per kWh.</w:t>
      </w:r>
    </w:p>
    <w:p>
      <w:pPr>
        <w:spacing w:after="80"/>
        <w:ind w:left="600"/>
      </w:pPr>
      <w:hyperlink w:history="1" r:id="rIdufylvvcm8n_r8bw_f1noj">
        <w:r>
          <w:rPr>
            <w:rStyle w:val="Hyperlink"/>
          </w:rPr>
          <w:t xml:space="preserve">https://arxiv.org/html/2304.03271v5</w:t>
        </w:r>
      </w:hyperlink>
    </w:p>
    <w:p>
      <w:pPr>
        <w:keepNext/>
        <w:spacing w:after="40" w:before="160"/>
        <w:ind w:left="600" w:hanging="600"/>
      </w:pPr>
      <w:r>
        <w:rPr>
          <w:b/>
          <w:bCs/>
        </w:rPr>
        <w:t xml:space="preserve">[7]	</w:t>
      </w:r>
      <w:r>
        <w:t xml:space="preserve">Google researchers (2025). Life-Cycle Emissions of AI Hardware: A Cradle-To-Grave Approach and Generational Trends. arXiv:2502.01671.</w:t>
      </w:r>
    </w:p>
    <w:p>
      <w:pPr>
        <w:keepNext/>
        <w:spacing w:after="40"/>
        <w:ind w:left="600"/>
      </w:pPr>
      <w:r>
        <w:rPr>
          <w:b/>
          <w:bCs/>
          <w:color w:val="55636B"/>
          <w:sz w:val="20"/>
          <w:szCs w:val="20"/>
        </w:rPr>
        <w:t xml:space="preserve">Type: </w:t>
      </w:r>
      <w:r>
        <w:rPr>
          <w:color w:val="55636B"/>
          <w:sz w:val="20"/>
          <w:szCs w:val="20"/>
        </w:rPr>
        <w:t xml:space="preserve">Preprint (arXiv, not yet peer-reviewed)</w:t>
      </w:r>
    </w:p>
    <w:p>
      <w:pPr>
        <w:keepNext/>
        <w:spacing w:after="40"/>
        <w:ind w:left="600"/>
      </w:pPr>
      <w:r>
        <w:rPr>
          <w:b/>
          <w:bCs/>
          <w:color w:val="C2662D"/>
          <w:sz w:val="20"/>
          <w:szCs w:val="20"/>
        </w:rPr>
        <w:t xml:space="preserve">How we used it: </w:t>
      </w:r>
      <w:r>
        <w:rPr>
          <w:sz w:val="20"/>
          <w:szCs w:val="20"/>
        </w:rPr>
        <w:t xml:space="preserve">Electricity use is ~70–90% of an AI chip’s lifetime emissions; building construction under 5%.</w:t>
      </w:r>
    </w:p>
    <w:p>
      <w:pPr>
        <w:spacing w:after="80"/>
        <w:ind w:left="600"/>
      </w:pPr>
      <w:hyperlink w:history="1" r:id="rIdhehiuguanrtmshpkuoht7">
        <w:r>
          <w:rPr>
            <w:rStyle w:val="Hyperlink"/>
          </w:rPr>
          <w:t xml:space="preserve">https://arxiv.org/html/2502.01671v1</w:t>
        </w:r>
      </w:hyperlink>
    </w:p>
    <w:p>
      <w:pPr>
        <w:keepNext/>
        <w:spacing w:after="40" w:before="160"/>
        <w:ind w:left="600" w:hanging="600"/>
      </w:pPr>
      <w:r>
        <w:rPr>
          <w:b/>
          <w:bCs/>
        </w:rPr>
        <w:t xml:space="preserve">[8]	</w:t>
      </w:r>
      <w:r>
        <w:t xml:space="preserve">Brevity is the soul of sustainability: Characterizing LLM response lengths (2025). arXiv:2506.08686.</w:t>
      </w:r>
    </w:p>
    <w:p>
      <w:pPr>
        <w:keepNext/>
        <w:spacing w:after="40"/>
        <w:ind w:left="600"/>
      </w:pPr>
      <w:r>
        <w:rPr>
          <w:b/>
          <w:bCs/>
          <w:color w:val="55636B"/>
          <w:sz w:val="20"/>
          <w:szCs w:val="20"/>
        </w:rPr>
        <w:t xml:space="preserve">Type: </w:t>
      </w:r>
      <w:r>
        <w:rPr>
          <w:color w:val="55636B"/>
          <w:sz w:val="20"/>
          <w:szCs w:val="20"/>
        </w:rPr>
        <w:t xml:space="preserve">Preprint (arXiv, not yet peer-reviewed)</w:t>
      </w:r>
    </w:p>
    <w:p>
      <w:pPr>
        <w:keepNext/>
        <w:spacing w:after="40"/>
        <w:ind w:left="600"/>
      </w:pPr>
      <w:r>
        <w:rPr>
          <w:b/>
          <w:bCs/>
          <w:color w:val="C2662D"/>
          <w:sz w:val="20"/>
          <w:szCs w:val="20"/>
        </w:rPr>
        <w:t xml:space="preserve">How we used it: </w:t>
      </w:r>
      <w:r>
        <w:rPr>
          <w:sz w:val="20"/>
          <w:szCs w:val="20"/>
        </w:rPr>
        <w:t xml:space="preserve">Typical response lengths (about 150–760 tokens), used to convert messages per day into tokens.</w:t>
      </w:r>
    </w:p>
    <w:p>
      <w:pPr>
        <w:spacing w:after="80"/>
        <w:ind w:left="600"/>
      </w:pPr>
      <w:hyperlink w:history="1" r:id="rId429zp9cjwt2nud6rkk61u">
        <w:r>
          <w:rPr>
            <w:rStyle w:val="Hyperlink"/>
          </w:rPr>
          <w:t xml:space="preserve">https://arxiv.org/pdf/2506.08686</w:t>
        </w:r>
      </w:hyperlink>
    </w:p>
    <w:p>
      <w:pPr>
        <w:pStyle w:val="Heading1"/>
      </w:pPr>
      <w:r>
        <w:t xml:space="preserve">Reports, official data and documentation</w:t>
      </w:r>
    </w:p>
    <w:p>
      <w:pPr>
        <w:keepNext/>
        <w:spacing w:after="40" w:before="160"/>
        <w:ind w:left="600" w:hanging="600"/>
      </w:pPr>
      <w:r>
        <w:rPr>
          <w:b/>
          <w:bCs/>
        </w:rPr>
        <w:t xml:space="preserve">[9]	</w:t>
      </w:r>
      <w:r>
        <w:t xml:space="preserve">OpenAI with D. Deming (2025). How People Use ChatGPT. NBER working paper; reported by Computing, 17 Sep 2025.</w:t>
      </w:r>
    </w:p>
    <w:p>
      <w:pPr>
        <w:keepNext/>
        <w:spacing w:after="40"/>
        <w:ind w:left="600"/>
      </w:pPr>
      <w:r>
        <w:rPr>
          <w:b/>
          <w:bCs/>
          <w:color w:val="55636B"/>
          <w:sz w:val="20"/>
          <w:szCs w:val="20"/>
        </w:rPr>
        <w:t xml:space="preserve">Type: </w:t>
      </w:r>
      <w:r>
        <w:rPr>
          <w:color w:val="55636B"/>
          <w:sz w:val="20"/>
          <w:szCs w:val="20"/>
        </w:rPr>
        <w:t xml:space="preserve">Official report, data or documentation</w:t>
      </w:r>
    </w:p>
    <w:p>
      <w:pPr>
        <w:keepNext/>
        <w:spacing w:after="40"/>
        <w:ind w:left="600"/>
      </w:pPr>
      <w:r>
        <w:rPr>
          <w:b/>
          <w:bCs/>
          <w:color w:val="C2662D"/>
          <w:sz w:val="20"/>
          <w:szCs w:val="20"/>
        </w:rPr>
        <w:t xml:space="preserve">How we used it: </w:t>
      </w:r>
      <w:r>
        <w:rPr>
          <w:sz w:val="20"/>
          <w:szCs w:val="20"/>
        </w:rPr>
        <w:t xml:space="preserve">2.6B ChatGPT messages a day from 700M+ weekly users, used for case A (prompters).</w:t>
      </w:r>
    </w:p>
    <w:p>
      <w:pPr>
        <w:spacing w:after="80"/>
        <w:ind w:left="600"/>
      </w:pPr>
      <w:hyperlink w:history="1" r:id="rIdgdggzrdnotxrvxiq9s-zd">
        <w:r>
          <w:rPr>
            <w:rStyle w:val="Hyperlink"/>
          </w:rPr>
          <w:t xml:space="preserve">https://www.computing.co.uk/news/2025/ai/openai-reveals-what-chatgpt-users-look-for</w:t>
        </w:r>
      </w:hyperlink>
    </w:p>
    <w:p>
      <w:pPr>
        <w:keepNext/>
        <w:spacing w:after="40" w:before="160"/>
        <w:ind w:left="600" w:hanging="600"/>
      </w:pPr>
      <w:r>
        <w:rPr>
          <w:b/>
          <w:bCs/>
        </w:rPr>
        <w:t xml:space="preserve">[10]	</w:t>
      </w:r>
      <w:r>
        <w:t xml:space="preserve">Anthropic. Claude Code documentation: Manage costs effectively (accessed Oct 2026).</w:t>
      </w:r>
    </w:p>
    <w:p>
      <w:pPr>
        <w:keepNext/>
        <w:spacing w:after="40"/>
        <w:ind w:left="600"/>
      </w:pPr>
      <w:r>
        <w:rPr>
          <w:b/>
          <w:bCs/>
          <w:color w:val="55636B"/>
          <w:sz w:val="20"/>
          <w:szCs w:val="20"/>
        </w:rPr>
        <w:t xml:space="preserve">Type: </w:t>
      </w:r>
      <w:r>
        <w:rPr>
          <w:color w:val="55636B"/>
          <w:sz w:val="20"/>
          <w:szCs w:val="20"/>
        </w:rPr>
        <w:t xml:space="preserve">Official report, data or documentation</w:t>
      </w:r>
    </w:p>
    <w:p>
      <w:pPr>
        <w:keepNext/>
        <w:spacing w:after="40"/>
        <w:ind w:left="600"/>
      </w:pPr>
      <w:r>
        <w:rPr>
          <w:b/>
          <w:bCs/>
          <w:color w:val="C2662D"/>
          <w:sz w:val="20"/>
          <w:szCs w:val="20"/>
        </w:rPr>
        <w:t xml:space="preserve">How we used it: </w:t>
      </w:r>
      <w:r>
        <w:rPr>
          <w:sz w:val="20"/>
          <w:szCs w:val="20"/>
        </w:rPr>
        <w:t xml:space="preserve">About $13 per developer per active day for Claude Code, used for case B (agent developers).</w:t>
      </w:r>
    </w:p>
    <w:p>
      <w:pPr>
        <w:spacing w:after="80"/>
        <w:ind w:left="600"/>
      </w:pPr>
      <w:hyperlink w:history="1" r:id="rIdhmt3ks8nriz7ceqgegyz_">
        <w:r>
          <w:rPr>
            <w:rStyle w:val="Hyperlink"/>
          </w:rPr>
          <w:t xml:space="preserve">https://code.claude.com/docs/en/costs</w:t>
        </w:r>
      </w:hyperlink>
    </w:p>
    <w:p>
      <w:pPr>
        <w:keepNext/>
        <w:spacing w:after="40" w:before="160"/>
        <w:ind w:left="600" w:hanging="600"/>
      </w:pPr>
      <w:r>
        <w:rPr>
          <w:b/>
          <w:bCs/>
        </w:rPr>
        <w:t xml:space="preserve">[11]	</w:t>
      </w:r>
      <w:r>
        <w:t xml:space="preserve">Federal Reserve Bank of St. Louis (27 Feb 2025). The Impact of Generative AI on Work Productivity. On the Economy blog.</w:t>
      </w:r>
    </w:p>
    <w:p>
      <w:pPr>
        <w:keepNext/>
        <w:spacing w:after="40"/>
        <w:ind w:left="600"/>
      </w:pPr>
      <w:r>
        <w:rPr>
          <w:b/>
          <w:bCs/>
          <w:color w:val="55636B"/>
          <w:sz w:val="20"/>
          <w:szCs w:val="20"/>
        </w:rPr>
        <w:t xml:space="preserve">Type: </w:t>
      </w:r>
      <w:r>
        <w:rPr>
          <w:color w:val="55636B"/>
          <w:sz w:val="20"/>
          <w:szCs w:val="20"/>
        </w:rPr>
        <w:t xml:space="preserve">Official report, data or documentation</w:t>
      </w:r>
    </w:p>
    <w:p>
      <w:pPr>
        <w:keepNext/>
        <w:spacing w:after="40"/>
        <w:ind w:left="600"/>
      </w:pPr>
      <w:r>
        <w:rPr>
          <w:b/>
          <w:bCs/>
          <w:color w:val="C2662D"/>
          <w:sz w:val="20"/>
          <w:szCs w:val="20"/>
        </w:rPr>
        <w:t xml:space="preserve">How we used it: </w:t>
      </w:r>
      <w:r>
        <w:rPr>
          <w:sz w:val="20"/>
          <w:szCs w:val="20"/>
        </w:rPr>
        <w:t xml:space="preserve">AI users spend ~15–60+ minutes per workday with generative AI, used for case C (knowledge workers).</w:t>
      </w:r>
    </w:p>
    <w:p>
      <w:pPr>
        <w:spacing w:after="80"/>
        <w:ind w:left="600"/>
      </w:pPr>
      <w:hyperlink w:history="1" r:id="rIdv42qivoggfsz1e-dphezg">
        <w:r>
          <w:rPr>
            <w:rStyle w:val="Hyperlink"/>
          </w:rPr>
          <w:t xml:space="preserve">https://www.stlouisfed.org/on-the-economy/2025/feb/impact-generative-ai-work-productivity</w:t>
        </w:r>
      </w:hyperlink>
    </w:p>
    <w:p>
      <w:pPr>
        <w:keepNext/>
        <w:spacing w:after="40" w:before="160"/>
        <w:ind w:left="600" w:hanging="600"/>
      </w:pPr>
      <w:r>
        <w:rPr>
          <w:b/>
          <w:bCs/>
        </w:rPr>
        <w:t xml:space="preserve">[12]	</w:t>
      </w:r>
      <w:r>
        <w:t xml:space="preserve">Google (19 May 2026). I/O 2026 keynote recap: over 3.2 quadrillion tokens processed per month.</w:t>
      </w:r>
    </w:p>
    <w:p>
      <w:pPr>
        <w:keepNext/>
        <w:spacing w:after="40"/>
        <w:ind w:left="600"/>
      </w:pPr>
      <w:r>
        <w:rPr>
          <w:b/>
          <w:bCs/>
          <w:color w:val="55636B"/>
          <w:sz w:val="20"/>
          <w:szCs w:val="20"/>
        </w:rPr>
        <w:t xml:space="preserve">Type: </w:t>
      </w:r>
      <w:r>
        <w:rPr>
          <w:color w:val="55636B"/>
          <w:sz w:val="20"/>
          <w:szCs w:val="20"/>
        </w:rPr>
        <w:t xml:space="preserve">Official report, data or documentation</w:t>
      </w:r>
    </w:p>
    <w:p>
      <w:pPr>
        <w:keepNext/>
        <w:spacing w:after="40"/>
        <w:ind w:left="600"/>
      </w:pPr>
      <w:r>
        <w:rPr>
          <w:b/>
          <w:bCs/>
          <w:color w:val="C2662D"/>
          <w:sz w:val="20"/>
          <w:szCs w:val="20"/>
        </w:rPr>
        <w:t xml:space="preserve">How we used it: </w:t>
      </w:r>
      <w:r>
        <w:rPr>
          <w:sz w:val="20"/>
          <w:szCs w:val="20"/>
        </w:rPr>
        <w:t xml:space="preserve">3.2 quadrillion tokens a month (May 2026), used as a scale check on our ~29 trillion output tokens a day.</w:t>
      </w:r>
    </w:p>
    <w:p>
      <w:pPr>
        <w:spacing w:after="80"/>
        <w:ind w:left="600"/>
      </w:pPr>
      <w:hyperlink w:history="1" r:id="rIdmyhi0g7wkqy3ogsrreacc">
        <w:r>
          <w:rPr>
            <w:rStyle w:val="Hyperlink"/>
          </w:rPr>
          <w:t xml:space="preserve">https://blog.google/innovation-and-ai/sundar-pichai-io-2026/</w:t>
        </w:r>
      </w:hyperlink>
    </w:p>
    <w:p>
      <w:pPr>
        <w:keepNext/>
        <w:spacing w:after="40" w:before="160"/>
        <w:ind w:left="600" w:hanging="600"/>
      </w:pPr>
      <w:r>
        <w:rPr>
          <w:b/>
          <w:bCs/>
        </w:rPr>
        <w:t xml:space="preserve">[13]	</w:t>
      </w:r>
      <w:r>
        <w:t xml:space="preserve">Princeton ZERO Lab (J. Jenkins et al.). System-level impacts of 24/7 carbon-free electricity procurement; summarized by Canary Media, Nov 2021.</w:t>
      </w:r>
    </w:p>
    <w:p>
      <w:pPr>
        <w:keepNext/>
        <w:spacing w:after="40"/>
        <w:ind w:left="600"/>
      </w:pPr>
      <w:r>
        <w:rPr>
          <w:b/>
          <w:bCs/>
          <w:color w:val="55636B"/>
          <w:sz w:val="20"/>
          <w:szCs w:val="20"/>
        </w:rPr>
        <w:t xml:space="preserve">Type: </w:t>
      </w:r>
      <w:r>
        <w:rPr>
          <w:color w:val="55636B"/>
          <w:sz w:val="20"/>
          <w:szCs w:val="20"/>
        </w:rPr>
        <w:t xml:space="preserve">Official report, data or documentation</w:t>
      </w:r>
    </w:p>
    <w:p>
      <w:pPr>
        <w:keepNext/>
        <w:spacing w:after="40"/>
        <w:ind w:left="600"/>
      </w:pPr>
      <w:r>
        <w:rPr>
          <w:b/>
          <w:bCs/>
          <w:color w:val="C2662D"/>
          <w:sz w:val="20"/>
          <w:szCs w:val="20"/>
        </w:rPr>
        <w:t xml:space="preserve">How we used it: </w:t>
      </w:r>
      <w:r>
        <w:rPr>
          <w:sz w:val="20"/>
          <w:szCs w:val="20"/>
        </w:rPr>
        <w:t xml:space="preserve">24/7 hourly clean-power matching cuts emissions further than annual matching but costs 39–64% more in California.</w:t>
      </w:r>
    </w:p>
    <w:p>
      <w:pPr>
        <w:spacing w:after="80"/>
        <w:ind w:left="600"/>
      </w:pPr>
      <w:hyperlink w:history="1" r:id="rIdjcifsdyh0r1g_nkg1mjdr">
        <w:r>
          <w:rPr>
            <w:rStyle w:val="Hyperlink"/>
          </w:rPr>
          <w:t xml:space="preserve">https://www.canarymedia.com/articles/clean-energy/what-24-7-carbon-free-energy-can-achieve-over-the-long-term</w:t>
        </w:r>
      </w:hyperlink>
    </w:p>
    <w:p>
      <w:pPr>
        <w:keepNext/>
        <w:spacing w:after="40" w:before="160"/>
        <w:ind w:left="600" w:hanging="600"/>
      </w:pPr>
      <w:r>
        <w:rPr>
          <w:b/>
          <w:bCs/>
        </w:rPr>
        <w:t xml:space="preserve">[14]	</w:t>
      </w:r>
      <w:r>
        <w:t xml:space="preserve">Duke University Nicholas Institute (2025). Rethinking Load Growth: flexible large loads; reported by POWER magazine.</w:t>
      </w:r>
    </w:p>
    <w:p>
      <w:pPr>
        <w:keepNext/>
        <w:spacing w:after="40"/>
        <w:ind w:left="600"/>
      </w:pPr>
      <w:r>
        <w:rPr>
          <w:b/>
          <w:bCs/>
          <w:color w:val="55636B"/>
          <w:sz w:val="20"/>
          <w:szCs w:val="20"/>
        </w:rPr>
        <w:t xml:space="preserve">Type: </w:t>
      </w:r>
      <w:r>
        <w:rPr>
          <w:color w:val="55636B"/>
          <w:sz w:val="20"/>
          <w:szCs w:val="20"/>
        </w:rPr>
        <w:t xml:space="preserve">Official report, data or documentation</w:t>
      </w:r>
    </w:p>
    <w:p>
      <w:pPr>
        <w:keepNext/>
        <w:spacing w:after="40"/>
        <w:ind w:left="600"/>
      </w:pPr>
      <w:r>
        <w:rPr>
          <w:b/>
          <w:bCs/>
          <w:color w:val="C2662D"/>
          <w:sz w:val="20"/>
          <w:szCs w:val="20"/>
        </w:rPr>
        <w:t xml:space="preserve">How we used it: </w:t>
      </w:r>
      <w:r>
        <w:rPr>
          <w:sz w:val="20"/>
          <w:szCs w:val="20"/>
        </w:rPr>
        <w:t xml:space="preserve">~76 GW of new US load fits if loads accept 0.25% curtailment; supports grid-flexible data centers.</w:t>
      </w:r>
    </w:p>
    <w:p>
      <w:pPr>
        <w:spacing w:after="80"/>
        <w:ind w:left="600"/>
      </w:pPr>
      <w:hyperlink w:history="1" r:id="rIdhwrkp0hgsnznhgqctpu54">
        <w:r>
          <w:rPr>
            <w:rStyle w:val="Hyperlink"/>
          </w:rPr>
          <w:t xml:space="preserve">https://www.powermag.com/duke-researchers-grid-flexibility-key-to-accommodate-load-growth</w:t>
        </w:r>
      </w:hyperlink>
    </w:p>
    <w:p>
      <w:pPr>
        <w:pStyle w:val="Heading1"/>
      </w:pPr>
      <w:r>
        <w:t xml:space="preserve">Real-world examples (industry cases and news)</w:t>
      </w:r>
    </w:p>
    <w:p>
      <w:pPr>
        <w:keepNext/>
        <w:spacing w:after="40" w:before="160"/>
        <w:ind w:left="600" w:hanging="600"/>
      </w:pPr>
      <w:r>
        <w:rPr>
          <w:b/>
          <w:bCs/>
        </w:rPr>
        <w:t xml:space="preserve">[15]	</w:t>
      </w:r>
      <w:r>
        <w:t xml:space="preserve">Ramboll. Meta: surplus heat to district heating, Odense, Denmark.</w:t>
      </w:r>
    </w:p>
    <w:p>
      <w:pPr>
        <w:keepNext/>
        <w:spacing w:after="40"/>
        <w:ind w:left="600"/>
      </w:pPr>
      <w:r>
        <w:rPr>
          <w:b/>
          <w:bCs/>
          <w:color w:val="55636B"/>
          <w:sz w:val="20"/>
          <w:szCs w:val="20"/>
        </w:rPr>
        <w:t xml:space="preserve">Type: </w:t>
      </w:r>
      <w:r>
        <w:rPr>
          <w:color w:val="55636B"/>
          <w:sz w:val="20"/>
          <w:szCs w:val="20"/>
        </w:rPr>
        <w:t xml:space="preserve">Industry case or trade press</w:t>
      </w:r>
    </w:p>
    <w:p>
      <w:pPr>
        <w:keepNext/>
        <w:spacing w:after="40"/>
        <w:ind w:left="600"/>
      </w:pPr>
      <w:r>
        <w:rPr>
          <w:b/>
          <w:bCs/>
          <w:color w:val="C2662D"/>
          <w:sz w:val="20"/>
          <w:szCs w:val="20"/>
        </w:rPr>
        <w:t xml:space="preserve">How we used it: </w:t>
      </w:r>
      <w:r>
        <w:rPr>
          <w:sz w:val="20"/>
          <w:szCs w:val="20"/>
        </w:rPr>
        <w:t xml:space="preserve">Meta Odense: ~45 MW of heat pumps lift waste heat to 70–75 °C, heating 12,000+ homes.</w:t>
      </w:r>
    </w:p>
    <w:p>
      <w:pPr>
        <w:spacing w:after="80"/>
        <w:ind w:left="600"/>
      </w:pPr>
      <w:hyperlink w:history="1" r:id="rIdciitrkihksw5jcleaoujx">
        <w:r>
          <w:rPr>
            <w:rStyle w:val="Hyperlink"/>
          </w:rPr>
          <w:t xml:space="preserve">https://www.ramboll.com/projects/energy/meta-surplus-heat-to-district-heating</w:t>
        </w:r>
      </w:hyperlink>
    </w:p>
    <w:p>
      <w:pPr>
        <w:keepNext/>
        <w:spacing w:after="40" w:before="160"/>
        <w:ind w:left="600" w:hanging="600"/>
      </w:pPr>
      <w:r>
        <w:rPr>
          <w:b/>
          <w:bCs/>
        </w:rPr>
        <w:t xml:space="preserve">[16]	</w:t>
      </w:r>
      <w:r>
        <w:t xml:space="preserve">Mearian L. Green IT: 22 stories underground, Iron Mountain’s experimental Room 48. Network World.</w:t>
      </w:r>
    </w:p>
    <w:p>
      <w:pPr>
        <w:keepNext/>
        <w:spacing w:after="40"/>
        <w:ind w:left="600"/>
      </w:pPr>
      <w:r>
        <w:rPr>
          <w:b/>
          <w:bCs/>
          <w:color w:val="55636B"/>
          <w:sz w:val="20"/>
          <w:szCs w:val="20"/>
        </w:rPr>
        <w:t xml:space="preserve">Type: </w:t>
      </w:r>
      <w:r>
        <w:rPr>
          <w:color w:val="55636B"/>
          <w:sz w:val="20"/>
          <w:szCs w:val="20"/>
        </w:rPr>
        <w:t xml:space="preserve">Industry case or trade press</w:t>
      </w:r>
    </w:p>
    <w:p>
      <w:pPr>
        <w:keepNext/>
        <w:spacing w:after="40"/>
        <w:ind w:left="600"/>
      </w:pPr>
      <w:r>
        <w:rPr>
          <w:b/>
          <w:bCs/>
          <w:color w:val="C2662D"/>
          <w:sz w:val="20"/>
          <w:szCs w:val="20"/>
        </w:rPr>
        <w:t xml:space="preserve">How we used it: </w:t>
      </w:r>
      <w:r>
        <w:rPr>
          <w:sz w:val="20"/>
          <w:szCs w:val="20"/>
        </w:rPr>
        <w:t xml:space="preserve">Iron Mountain: data halls ~22 stories underground in a limestone mine, cooled by an underground lake.</w:t>
      </w:r>
    </w:p>
    <w:p>
      <w:pPr>
        <w:spacing w:after="80"/>
        <w:ind w:left="600"/>
      </w:pPr>
      <w:hyperlink w:history="1" r:id="rId94jgvitbvwcrqmj_xzjdx">
        <w:r>
          <w:rPr>
            <w:rStyle w:val="Hyperlink"/>
          </w:rPr>
          <w:t xml:space="preserve">https://www.networkworld.com/article/769469/green-it-22-stories-underground-iron-mountain-s-experimental-room-48.html</w:t>
        </w:r>
      </w:hyperlink>
    </w:p>
    <w:p>
      <w:pPr>
        <w:keepNext/>
        <w:spacing w:after="40" w:before="160"/>
        <w:ind w:left="600" w:hanging="600"/>
      </w:pPr>
      <w:r>
        <w:rPr>
          <w:b/>
          <w:bCs/>
        </w:rPr>
        <w:t xml:space="preserve">[17]	</w:t>
      </w:r>
      <w:r>
        <w:t xml:space="preserve">DatacenterDynamics. Secrets of Norway’s green labyrinth (Lefdal Mine Datacenter).</w:t>
      </w:r>
    </w:p>
    <w:p>
      <w:pPr>
        <w:keepNext/>
        <w:spacing w:after="40"/>
        <w:ind w:left="600"/>
      </w:pPr>
      <w:r>
        <w:rPr>
          <w:b/>
          <w:bCs/>
          <w:color w:val="55636B"/>
          <w:sz w:val="20"/>
          <w:szCs w:val="20"/>
        </w:rPr>
        <w:t xml:space="preserve">Type: </w:t>
      </w:r>
      <w:r>
        <w:rPr>
          <w:color w:val="55636B"/>
          <w:sz w:val="20"/>
          <w:szCs w:val="20"/>
        </w:rPr>
        <w:t xml:space="preserve">Industry case or trade press</w:t>
      </w:r>
    </w:p>
    <w:p>
      <w:pPr>
        <w:keepNext/>
        <w:spacing w:after="40"/>
        <w:ind w:left="600"/>
      </w:pPr>
      <w:r>
        <w:rPr>
          <w:b/>
          <w:bCs/>
          <w:color w:val="C2662D"/>
          <w:sz w:val="20"/>
          <w:szCs w:val="20"/>
        </w:rPr>
        <w:t xml:space="preserve">How we used it: </w:t>
      </w:r>
      <w:r>
        <w:rPr>
          <w:sz w:val="20"/>
          <w:szCs w:val="20"/>
        </w:rPr>
        <w:t xml:space="preserve">Lefdal Mine: data center inside a former mine in Norway, cooled with fjord water.</w:t>
      </w:r>
    </w:p>
    <w:p>
      <w:pPr>
        <w:spacing w:after="80"/>
        <w:ind w:left="600"/>
      </w:pPr>
      <w:hyperlink w:history="1" r:id="rIdztuq5x1es8rertd2amivh">
        <w:r>
          <w:rPr>
            <w:rStyle w:val="Hyperlink"/>
          </w:rPr>
          <w:t xml:space="preserve">https://www.datacenterdynamics.com/en/opinions/secrets-of-norways-green-labyrinth/</w:t>
        </w:r>
      </w:hyperlink>
    </w:p>
    <w:p>
      <w:pPr>
        <w:keepNext/>
        <w:spacing w:after="40" w:before="160"/>
        <w:ind w:left="600" w:hanging="600"/>
      </w:pPr>
      <w:r>
        <w:rPr>
          <w:b/>
          <w:bCs/>
        </w:rPr>
        <w:t xml:space="preserve">[18]	</w:t>
      </w:r>
      <w:r>
        <w:t xml:space="preserve">Eurelectric. Microsoft data centers to provide 40% of Fortum’s electricity-based district heating in Espoo, Finland.</w:t>
      </w:r>
    </w:p>
    <w:p>
      <w:pPr>
        <w:keepNext/>
        <w:spacing w:after="40"/>
        <w:ind w:left="600"/>
      </w:pPr>
      <w:r>
        <w:rPr>
          <w:b/>
          <w:bCs/>
          <w:color w:val="55636B"/>
          <w:sz w:val="20"/>
          <w:szCs w:val="20"/>
        </w:rPr>
        <w:t xml:space="preserve">Type: </w:t>
      </w:r>
      <w:r>
        <w:rPr>
          <w:color w:val="55636B"/>
          <w:sz w:val="20"/>
          <w:szCs w:val="20"/>
        </w:rPr>
        <w:t xml:space="preserve">Industry case or trade press</w:t>
      </w:r>
    </w:p>
    <w:p>
      <w:pPr>
        <w:keepNext/>
        <w:spacing w:after="40"/>
        <w:ind w:left="600"/>
      </w:pPr>
      <w:r>
        <w:rPr>
          <w:b/>
          <w:bCs/>
          <w:color w:val="C2662D"/>
          <w:sz w:val="20"/>
          <w:szCs w:val="20"/>
        </w:rPr>
        <w:t xml:space="preserve">How we used it: </w:t>
      </w:r>
      <w:r>
        <w:rPr>
          <w:sz w:val="20"/>
          <w:szCs w:val="20"/>
        </w:rPr>
        <w:t xml:space="preserve">Microsoft and Fortum plan for data centers to supply ~40% of district heat around Espoo, Finland.</w:t>
      </w:r>
    </w:p>
    <w:p>
      <w:pPr>
        <w:spacing w:after="80"/>
        <w:ind w:left="600"/>
      </w:pPr>
      <w:hyperlink w:history="1" r:id="rIdbfee2i-sa4fvfdnf7cati">
        <w:r>
          <w:rPr>
            <w:rStyle w:val="Hyperlink"/>
          </w:rPr>
          <w:t xml:space="preserve">https://www.eurelectric.org/stories/microsoft-data-centers-provide-40-of-fortums-electricity-based-district-heating-in-espoo-finland/</w:t>
        </w:r>
      </w:hyperlink>
    </w:p>
    <w:p>
      <w:pPr>
        <w:keepNext/>
        <w:spacing w:after="40" w:before="160"/>
        <w:ind w:left="600" w:hanging="600"/>
      </w:pPr>
      <w:r>
        <w:rPr>
          <w:b/>
          <w:bCs/>
        </w:rPr>
        <w:t xml:space="preserve">[19]	</w:t>
      </w:r>
      <w:r>
        <w:t xml:space="preserve">HPCwire (27 Jan 2023). PFAS regulations, 3M exit to impact two-phase cooling in HPC.</w:t>
      </w:r>
    </w:p>
    <w:p>
      <w:pPr>
        <w:keepNext/>
        <w:spacing w:after="40"/>
        <w:ind w:left="600"/>
      </w:pPr>
      <w:r>
        <w:rPr>
          <w:b/>
          <w:bCs/>
          <w:color w:val="55636B"/>
          <w:sz w:val="20"/>
          <w:szCs w:val="20"/>
        </w:rPr>
        <w:t xml:space="preserve">Type: </w:t>
      </w:r>
      <w:r>
        <w:rPr>
          <w:color w:val="55636B"/>
          <w:sz w:val="20"/>
          <w:szCs w:val="20"/>
        </w:rPr>
        <w:t xml:space="preserve">Industry case or trade press</w:t>
      </w:r>
    </w:p>
    <w:p>
      <w:pPr>
        <w:keepNext/>
        <w:spacing w:after="40"/>
        <w:ind w:left="600"/>
      </w:pPr>
      <w:r>
        <w:rPr>
          <w:b/>
          <w:bCs/>
          <w:color w:val="C2662D"/>
          <w:sz w:val="20"/>
          <w:szCs w:val="20"/>
        </w:rPr>
        <w:t xml:space="preserve">How we used it: </w:t>
      </w:r>
      <w:r>
        <w:rPr>
          <w:sz w:val="20"/>
          <w:szCs w:val="20"/>
        </w:rPr>
        <w:t xml:space="preserve">3M’s exit from PFAS manufacturing puts two-phase immersion fluids at risk; why we use PFAS-free cooling.</w:t>
      </w:r>
    </w:p>
    <w:p>
      <w:pPr>
        <w:spacing w:after="80"/>
        <w:ind w:left="600"/>
      </w:pPr>
      <w:hyperlink w:history="1" r:id="rIdanon7iw6mcspfq605cvlh">
        <w:r>
          <w:rPr>
            <w:rStyle w:val="Hyperlink"/>
          </w:rPr>
          <w:t xml:space="preserve">https://www.hpcwire.com/2023/01/27/pfas-regulations-3m-exit-to-impact-two-phase-cooling-in-hpc/</w:t>
        </w:r>
      </w:hyperlink>
    </w:p>
    <w:p>
      <w:pPr>
        <w:pStyle w:val="Heading1"/>
      </w:pPr>
      <w:r>
        <w:t xml:space="preserve">Background reading</w:t>
      </w:r>
    </w:p>
    <w:p>
      <w:pPr>
        <w:spacing w:after="120"/>
      </w:pPr>
      <w:r>
        <w:t xml:space="preserve">Consulted during research and used in our answers to judges, but not cited on the slides.</w:t>
      </w:r>
    </w:p>
    <w:p>
      <w:pPr>
        <w:keepNext/>
        <w:spacing w:after="40" w:before="160"/>
        <w:ind w:left="600" w:hanging="600"/>
      </w:pPr>
      <w:r>
        <w:rPr>
          <w:b/>
          <w:bCs/>
        </w:rPr>
        <w:t xml:space="preserve">[B1]	</w:t>
      </w:r>
      <w:r>
        <w:t xml:space="preserve">Sukprasert T., Souza A., Bashir N., Irwin D., Shenoy P. (2024). On the Limitations of Carbon-Aware Temporal and Spatial Workload Shifting in the Cloud. Proceedings of EuroSys 2024.</w:t>
      </w:r>
    </w:p>
    <w:p>
      <w:pPr>
        <w:keepNext/>
        <w:spacing w:after="40"/>
        <w:ind w:left="600"/>
      </w:pPr>
      <w:r>
        <w:rPr>
          <w:b/>
          <w:bCs/>
          <w:color w:val="55636B"/>
          <w:sz w:val="20"/>
          <w:szCs w:val="20"/>
        </w:rPr>
        <w:t xml:space="preserve">Type: </w:t>
      </w:r>
      <w:r>
        <w:rPr>
          <w:color w:val="55636B"/>
          <w:sz w:val="20"/>
          <w:szCs w:val="20"/>
        </w:rPr>
        <w:t xml:space="preserve">Peer-reviewed conference</w:t>
      </w:r>
    </w:p>
    <w:p>
      <w:pPr>
        <w:keepNext/>
        <w:spacing w:after="40"/>
        <w:ind w:left="600"/>
      </w:pPr>
      <w:r>
        <w:rPr>
          <w:b/>
          <w:bCs/>
          <w:color w:val="C2662D"/>
          <w:sz w:val="20"/>
          <w:szCs w:val="20"/>
        </w:rPr>
        <w:t xml:space="preserve">How we used it: </w:t>
      </w:r>
      <w:r>
        <w:rPr>
          <w:sz w:val="20"/>
          <w:szCs w:val="20"/>
        </w:rPr>
        <w:t xml:space="preserve">Realistic carbon savings from moving workloads in time or space are much smaller than ideal estimates; choosing a clean site matters most.</w:t>
      </w:r>
    </w:p>
    <w:p>
      <w:pPr>
        <w:spacing w:after="80"/>
        <w:ind w:left="600"/>
      </w:pPr>
      <w:hyperlink w:history="1" r:id="rIdirsh4wjxxi5fc9rm7kyla">
        <w:r>
          <w:rPr>
            <w:rStyle w:val="Hyperlink"/>
          </w:rPr>
          <w:t xml:space="preserve">https://lass.cs.umass.edu/papers/pdf/eurosys24-shiftinglimitations.pdf</w:t>
        </w:r>
      </w:hyperlink>
    </w:p>
    <w:p>
      <w:pPr>
        <w:keepNext/>
        <w:spacing w:after="40" w:before="160"/>
        <w:ind w:left="600" w:hanging="600"/>
      </w:pPr>
      <w:r>
        <w:rPr>
          <w:b/>
          <w:bCs/>
        </w:rPr>
        <w:t xml:space="preserve">[B2]	</w:t>
      </w:r>
      <w:r>
        <w:t xml:space="preserve">Google (2025). Measuring the environmental impact of delivering AI at Google Scale. arXiv:2508.15734.</w:t>
      </w:r>
    </w:p>
    <w:p>
      <w:pPr>
        <w:keepNext/>
        <w:spacing w:after="40"/>
        <w:ind w:left="600"/>
      </w:pPr>
      <w:r>
        <w:rPr>
          <w:b/>
          <w:bCs/>
          <w:color w:val="55636B"/>
          <w:sz w:val="20"/>
          <w:szCs w:val="20"/>
        </w:rPr>
        <w:t xml:space="preserve">Type: </w:t>
      </w:r>
      <w:r>
        <w:rPr>
          <w:color w:val="55636B"/>
          <w:sz w:val="20"/>
          <w:szCs w:val="20"/>
        </w:rPr>
        <w:t xml:space="preserve">Preprint</w:t>
      </w:r>
    </w:p>
    <w:p>
      <w:pPr>
        <w:keepNext/>
        <w:spacing w:after="40"/>
        <w:ind w:left="600"/>
      </w:pPr>
      <w:r>
        <w:rPr>
          <w:b/>
          <w:bCs/>
          <w:color w:val="C2662D"/>
          <w:sz w:val="20"/>
          <w:szCs w:val="20"/>
        </w:rPr>
        <w:t xml:space="preserve">How we used it: </w:t>
      </w:r>
      <w:r>
        <w:rPr>
          <w:sz w:val="20"/>
          <w:szCs w:val="20"/>
        </w:rPr>
        <w:t xml:space="preserve">Median Gemini text prompt: 0.24 Wh, 0.03 gCO₂e, 0.26 mL water; 33× less energy per prompt in one year from serving-stack improvements.</w:t>
      </w:r>
    </w:p>
    <w:p>
      <w:pPr>
        <w:spacing w:after="80"/>
        <w:ind w:left="600"/>
      </w:pPr>
      <w:hyperlink w:history="1" r:id="rIdxkvf5xs_r8n_mid5fgldm">
        <w:r>
          <w:rPr>
            <w:rStyle w:val="Hyperlink"/>
          </w:rPr>
          <w:t xml:space="preserve">https://arxiv.org/abs/2508.15734</w:t>
        </w:r>
      </w:hyperlink>
    </w:p>
    <w:p>
      <w:pPr>
        <w:keepNext/>
        <w:spacing w:after="40" w:before="160"/>
        <w:ind w:left="600" w:hanging="600"/>
      </w:pPr>
      <w:r>
        <w:rPr>
          <w:b/>
          <w:bCs/>
        </w:rPr>
        <w:t xml:space="preserve">[B3]	</w:t>
      </w:r>
      <w:r>
        <w:t xml:space="preserve">International Energy Agency (2025). Energy and AI. Reported by DatacenterDynamics.</w:t>
      </w:r>
    </w:p>
    <w:p>
      <w:pPr>
        <w:keepNext/>
        <w:spacing w:after="40"/>
        <w:ind w:left="600"/>
      </w:pPr>
      <w:r>
        <w:rPr>
          <w:b/>
          <w:bCs/>
          <w:color w:val="55636B"/>
          <w:sz w:val="20"/>
          <w:szCs w:val="20"/>
        </w:rPr>
        <w:t xml:space="preserve">Type: </w:t>
      </w:r>
      <w:r>
        <w:rPr>
          <w:color w:val="55636B"/>
          <w:sz w:val="20"/>
          <w:szCs w:val="20"/>
        </w:rPr>
        <w:t xml:space="preserve">Report</w:t>
      </w:r>
    </w:p>
    <w:p>
      <w:pPr>
        <w:keepNext/>
        <w:spacing w:after="40"/>
        <w:ind w:left="600"/>
      </w:pPr>
      <w:r>
        <w:rPr>
          <w:b/>
          <w:bCs/>
          <w:color w:val="C2662D"/>
          <w:sz w:val="20"/>
          <w:szCs w:val="20"/>
        </w:rPr>
        <w:t xml:space="preserve">How we used it: </w:t>
      </w:r>
      <w:r>
        <w:rPr>
          <w:sz w:val="20"/>
          <w:szCs w:val="20"/>
        </w:rPr>
        <w:t xml:space="preserve">Data center electricity rises from 415 TWh (2024) to ~945 TWh by 2030.</w:t>
      </w:r>
    </w:p>
    <w:p>
      <w:pPr>
        <w:spacing w:after="80"/>
        <w:ind w:left="600"/>
      </w:pPr>
      <w:hyperlink w:history="1" r:id="rIdtf64biqkwemsufcfxxdi7">
        <w:r>
          <w:rPr>
            <w:rStyle w:val="Hyperlink"/>
          </w:rPr>
          <w:t xml:space="preserve">https://datacenterdynamics.com/en/news/iea-data-center-energy-consumption-set-to-double-by-2030-to-945twh</w:t>
        </w:r>
      </w:hyperlink>
    </w:p>
    <w:p>
      <w:pPr>
        <w:keepNext/>
        <w:spacing w:after="40" w:before="160"/>
        <w:ind w:left="600" w:hanging="600"/>
      </w:pPr>
      <w:r>
        <w:rPr>
          <w:b/>
          <w:bCs/>
        </w:rPr>
        <w:t xml:space="preserve">[B4]	</w:t>
      </w:r>
      <w:r>
        <w:t xml:space="preserve">Data Center Frontier. How geothermal energy is gaining ground in AI data center power strategies.</w:t>
      </w:r>
    </w:p>
    <w:p>
      <w:pPr>
        <w:keepNext/>
        <w:spacing w:after="40"/>
        <w:ind w:left="600"/>
      </w:pPr>
      <w:r>
        <w:rPr>
          <w:b/>
          <w:bCs/>
          <w:color w:val="55636B"/>
          <w:sz w:val="20"/>
          <w:szCs w:val="20"/>
        </w:rPr>
        <w:t xml:space="preserve">Type: </w:t>
      </w:r>
      <w:r>
        <w:rPr>
          <w:color w:val="55636B"/>
          <w:sz w:val="20"/>
          <w:szCs w:val="20"/>
        </w:rPr>
        <w:t xml:space="preserve">Industry article</w:t>
      </w:r>
    </w:p>
    <w:p>
      <w:pPr>
        <w:keepNext/>
        <w:spacing w:after="40"/>
        <w:ind w:left="600"/>
      </w:pPr>
      <w:r>
        <w:rPr>
          <w:b/>
          <w:bCs/>
          <w:color w:val="C2662D"/>
          <w:sz w:val="20"/>
          <w:szCs w:val="20"/>
        </w:rPr>
        <w:t xml:space="preserve">How we used it: </w:t>
      </w:r>
      <w:r>
        <w:rPr>
          <w:sz w:val="20"/>
          <w:szCs w:val="20"/>
        </w:rPr>
        <w:t xml:space="preserve">Geothermal for AI data centers is mostly about power today; direct ground cooling at AI scale is still modelled or planned.</w:t>
      </w:r>
    </w:p>
    <w:p>
      <w:pPr>
        <w:spacing w:after="80"/>
        <w:ind w:left="600"/>
      </w:pPr>
      <w:hyperlink w:history="1" r:id="rIdcqfrmrwzu4g927rcn7k17">
        <w:r>
          <w:rPr>
            <w:rStyle w:val="Hyperlink"/>
          </w:rPr>
          <w:t xml:space="preserve">https://www.datacenterfrontier.com/energy/article/55339222/how-geothermal-energy-is-gaining-ground-in-ai-data-center-power-strategies</w:t>
        </w:r>
      </w:hyperlink>
    </w:p>
    <w:p>
      <w:pPr>
        <w:keepNext/>
        <w:spacing w:after="40" w:before="160"/>
        <w:ind w:left="600" w:hanging="600"/>
      </w:pPr>
      <w:r>
        <w:rPr>
          <w:b/>
          <w:bCs/>
        </w:rPr>
        <w:t xml:space="preserve">[B5]	</w:t>
      </w:r>
      <w:r>
        <w:t xml:space="preserve">EEPower. Can underground aquifers provide data center cooling?</w:t>
      </w:r>
    </w:p>
    <w:p>
      <w:pPr>
        <w:keepNext/>
        <w:spacing w:after="40"/>
        <w:ind w:left="600"/>
      </w:pPr>
      <w:r>
        <w:rPr>
          <w:b/>
          <w:bCs/>
          <w:color w:val="55636B"/>
          <w:sz w:val="20"/>
          <w:szCs w:val="20"/>
        </w:rPr>
        <w:t xml:space="preserve">Type: </w:t>
      </w:r>
      <w:r>
        <w:rPr>
          <w:color w:val="55636B"/>
          <w:sz w:val="20"/>
          <w:szCs w:val="20"/>
        </w:rPr>
        <w:t xml:space="preserve">Industry article</w:t>
      </w:r>
    </w:p>
    <w:p>
      <w:pPr>
        <w:keepNext/>
        <w:spacing w:after="40"/>
        <w:ind w:left="600"/>
      </w:pPr>
      <w:r>
        <w:rPr>
          <w:b/>
          <w:bCs/>
          <w:color w:val="C2662D"/>
          <w:sz w:val="20"/>
          <w:szCs w:val="20"/>
        </w:rPr>
        <w:t xml:space="preserve">How we used it: </w:t>
      </w:r>
      <w:r>
        <w:rPr>
          <w:sz w:val="20"/>
          <w:szCs w:val="20"/>
        </w:rPr>
        <w:t xml:space="preserve">How aquifer thermal storage works, with its barriers: up-front cost, geology studies, well clogging.</w:t>
      </w:r>
    </w:p>
    <w:p>
      <w:pPr>
        <w:spacing w:after="80"/>
        <w:ind w:left="600"/>
      </w:pPr>
      <w:hyperlink w:history="1" r:id="rId_1koknis-xmlgdpenfghb">
        <w:r>
          <w:rPr>
            <w:rStyle w:val="Hyperlink"/>
          </w:rPr>
          <w:t xml:space="preserve">https://eepower.com/tech-insights/can-underground-aquifers-provide-data-center-cooling/</w:t>
        </w:r>
      </w:hyperlink>
    </w:p>
    <w:p>
      <w:pPr>
        <w:pStyle w:val="Heading1"/>
      </w:pPr>
      <w:r>
        <w:t xml:space="preserve">Where our own numbers come from</w:t>
      </w:r>
    </w:p>
    <w:p>
      <w:pPr>
        <w:spacing w:after="120"/>
      </w:pPr>
      <w:r>
        <w:t xml:space="preserve">Figures such as 4.3× less energy per token, PUE 1.09, 194 MW and 4.45B users are outputs of our digital twin, using the sources above as inputs. Hardware prices, peak-to-average load, build cost, river and aquifer capacities and orbital mass per kW are our estimates and are editable in the live demo.</w:t>
      </w:r>
    </w:p>
    <w:p>
      <w:pPr>
        <w:spacing w:after="120"/>
      </w:pPr>
      <w:r>
        <w:t xml:space="preserve">Live demo: </w:t>
      </w:r>
      <w:hyperlink w:history="1" r:id="rIdvnqzsenegroc_fqr5zl66">
        <w:r>
          <w:rPr>
            <w:rStyle w:val="Hyperlink"/>
          </w:rPr>
          <w:t xml:space="preserve">kalyanig-personal.github.io/cambridge-token-factory</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5636B"/>
        <w:sz w:val="16"/>
        <w:szCs w:val="16"/>
      </w:rPr>
      <w:t xml:space="preserve">Cambridge Underground Token Factory · Research and citations · </w:t>
    </w:r>
    <w:r>
      <w:rPr>
        <w:color w:val="5563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32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Cambria" w:cs="Cambria" w:eastAsia="Cambria" w:hAnsi="Cambria"/>
      <w:b/>
      <w:bCs/>
      <w:color w:val="1B2328"/>
      <w:sz w:val="44"/>
      <w:szCs w:val="44"/>
    </w:rPr>
  </w:style>
  <w:style w:type="paragraph" w:styleId="Heading1">
    <w:name w:val="Heading 1"/>
    <w:basedOn w:val="Normal"/>
    <w:next w:val="Normal"/>
    <w:qFormat/>
    <w:pPr>
      <w:keepNext/>
      <w:spacing w:after="100" w:before="320"/>
      <w:outlineLvl w:val="0"/>
    </w:pPr>
    <w:rPr>
      <w:rFonts w:ascii="Cambria" w:cs="Cambria" w:eastAsia="Cambria" w:hAnsi="Cambria"/>
      <w:b/>
      <w:bCs/>
      <w:color w:val="C2662D"/>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bj2vpqxceixnzauna5u4p" Type="http://schemas.openxmlformats.org/officeDocument/2006/relationships/hyperlink" Target="https://acris.aalto.fi/ws/portalfiles/portal/124210750/1_s2.0_S1364032123006342_main.pdf" TargetMode="External"/><Relationship Id="rIdtk2o2whaiq54efnszf_1f" Type="http://schemas.openxmlformats.org/officeDocument/2006/relationships/hyperlink" Target="https://ornl.gov/publication/district-heating-utilizing-waste-heat-data-center-high-temperature-heat-pumps" TargetMode="External"/><Relationship Id="rId8uit9rnykcq__2bsyecr0" Type="http://schemas.openxmlformats.org/officeDocument/2006/relationships/hyperlink" Target="https://www.nrel.gov/grid/news/program/2025/nlr-analysis-identifies-reservoir-thermal-energy-storage-as-a-solution-for-data-center-cooling-needs" TargetMode="External"/><Relationship Id="rIdqseqpocsh0eqcclgq6e4y" Type="http://schemas.openxmlformats.org/officeDocument/2006/relationships/hyperlink" Target="https://news.microsoft.com/source/features/sustainability/microsoft-quantifies-environmental-impacts-of-datacenter-cooling-from-cradle-to-grave-in-new-nature-study/" TargetMode="External"/><Relationship Id="rIdfdy9jmfvam8md9_9er22f" Type="http://schemas.openxmlformats.org/officeDocument/2006/relationships/hyperlink" Target="https://www.nature.com/nature-index/article/10.1016/j.apenergy.2025.126984" TargetMode="External"/><Relationship Id="rIdufylvvcm8n_r8bw_f1noj" Type="http://schemas.openxmlformats.org/officeDocument/2006/relationships/hyperlink" Target="https://arxiv.org/html/2304.03271v5" TargetMode="External"/><Relationship Id="rIdhehiuguanrtmshpkuoht7" Type="http://schemas.openxmlformats.org/officeDocument/2006/relationships/hyperlink" Target="https://arxiv.org/html/2502.01671v1" TargetMode="External"/><Relationship Id="rId429zp9cjwt2nud6rkk61u" Type="http://schemas.openxmlformats.org/officeDocument/2006/relationships/hyperlink" Target="https://arxiv.org/pdf/2506.08686" TargetMode="External"/><Relationship Id="rIdgdggzrdnotxrvxiq9s-zd" Type="http://schemas.openxmlformats.org/officeDocument/2006/relationships/hyperlink" Target="https://www.computing.co.uk/news/2025/ai/openai-reveals-what-chatgpt-users-look-for" TargetMode="External"/><Relationship Id="rIdhmt3ks8nriz7ceqgegyz_" Type="http://schemas.openxmlformats.org/officeDocument/2006/relationships/hyperlink" Target="https://code.claude.com/docs/en/costs" TargetMode="External"/><Relationship Id="rIdv42qivoggfsz1e-dphezg" Type="http://schemas.openxmlformats.org/officeDocument/2006/relationships/hyperlink" Target="https://www.stlouisfed.org/on-the-economy/2025/feb/impact-generative-ai-work-productivity" TargetMode="External"/><Relationship Id="rIdmyhi0g7wkqy3ogsrreacc" Type="http://schemas.openxmlformats.org/officeDocument/2006/relationships/hyperlink" Target="https://blog.google/innovation-and-ai/sundar-pichai-io-2026/" TargetMode="External"/><Relationship Id="rIdjcifsdyh0r1g_nkg1mjdr" Type="http://schemas.openxmlformats.org/officeDocument/2006/relationships/hyperlink" Target="https://www.canarymedia.com/articles/clean-energy/what-24-7-carbon-free-energy-can-achieve-over-the-long-term" TargetMode="External"/><Relationship Id="rIdhwrkp0hgsnznhgqctpu54" Type="http://schemas.openxmlformats.org/officeDocument/2006/relationships/hyperlink" Target="https://www.powermag.com/duke-researchers-grid-flexibility-key-to-accommodate-load-growth" TargetMode="External"/><Relationship Id="rIdciitrkihksw5jcleaoujx" Type="http://schemas.openxmlformats.org/officeDocument/2006/relationships/hyperlink" Target="https://www.ramboll.com/projects/energy/meta-surplus-heat-to-district-heating" TargetMode="External"/><Relationship Id="rId94jgvitbvwcrqmj_xzjdx" Type="http://schemas.openxmlformats.org/officeDocument/2006/relationships/hyperlink" Target="https://www.networkworld.com/article/769469/green-it-22-stories-underground-iron-mountain-s-experimental-room-48.html" TargetMode="External"/><Relationship Id="rIdztuq5x1es8rertd2amivh" Type="http://schemas.openxmlformats.org/officeDocument/2006/relationships/hyperlink" Target="https://www.datacenterdynamics.com/en/opinions/secrets-of-norways-green-labyrinth/" TargetMode="External"/><Relationship Id="rIdbfee2i-sa4fvfdnf7cati" Type="http://schemas.openxmlformats.org/officeDocument/2006/relationships/hyperlink" Target="https://www.eurelectric.org/stories/microsoft-data-centers-provide-40-of-fortums-electricity-based-district-heating-in-espoo-finland/" TargetMode="External"/><Relationship Id="rIdanon7iw6mcspfq605cvlh" Type="http://schemas.openxmlformats.org/officeDocument/2006/relationships/hyperlink" Target="https://www.hpcwire.com/2023/01/27/pfas-regulations-3m-exit-to-impact-two-phase-cooling-in-hpc/" TargetMode="External"/><Relationship Id="rIdirsh4wjxxi5fc9rm7kyla" Type="http://schemas.openxmlformats.org/officeDocument/2006/relationships/hyperlink" Target="https://lass.cs.umass.edu/papers/pdf/eurosys24-shiftinglimitations.pdf" TargetMode="External"/><Relationship Id="rIdxkvf5xs_r8n_mid5fgldm" Type="http://schemas.openxmlformats.org/officeDocument/2006/relationships/hyperlink" Target="https://arxiv.org/abs/2508.15734" TargetMode="External"/><Relationship Id="rIdtf64biqkwemsufcfxxdi7" Type="http://schemas.openxmlformats.org/officeDocument/2006/relationships/hyperlink" Target="https://datacenterdynamics.com/en/news/iea-data-center-energy-consumption-set-to-double-by-2030-to-945twh" TargetMode="External"/><Relationship Id="rIdcqfrmrwzu4g927rcn7k17" Type="http://schemas.openxmlformats.org/officeDocument/2006/relationships/hyperlink" Target="https://www.datacenterfrontier.com/energy/article/55339222/how-geothermal-energy-is-gaining-ground-in-ai-data-center-power-strategies" TargetMode="External"/><Relationship Id="rId_1koknis-xmlgdpenfghb" Type="http://schemas.openxmlformats.org/officeDocument/2006/relationships/hyperlink" Target="https://eepower.com/tech-insights/can-underground-aquifers-provide-data-center-cooling/" TargetMode="External"/><Relationship Id="rIdvnqzsenegroc_fqr5zl66" Type="http://schemas.openxmlformats.org/officeDocument/2006/relationships/hyperlink" Target="https://kalyanig-personal.github.io/cambridge-token-factory/" TargetMode="External"/><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Papers and Citations: Cambridge Underground Token Factory</dc:title>
  <dc:creator>Team Token Factory</dc:creator>
  <cp:lastModifiedBy>Un-named</cp:lastModifiedBy>
  <cp:revision>1</cp:revision>
  <dcterms:created xsi:type="dcterms:W3CDTF">2026-10-18T17:46:13.386Z</dcterms:created>
  <dcterms:modified xsi:type="dcterms:W3CDTF">2026-10-18T17:46:13.395Z</dcterms:modified>
</cp:coreProperties>
</file>

<file path=docProps/custom.xml><?xml version="1.0" encoding="utf-8"?>
<Properties xmlns="http://schemas.openxmlformats.org/officeDocument/2006/custom-properties" xmlns:vt="http://schemas.openxmlformats.org/officeDocument/2006/docPropsVTypes"/>
</file>