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microsoft-executive-strategy"/>
    <w:p>
      <w:pPr>
        <w:pStyle w:val="Heading1"/>
      </w:pPr>
      <w:r>
        <w:t xml:space="preserve">Microsoft Executive Strategy</w:t>
      </w:r>
    </w:p>
    <w:bookmarkStart w:id="20" w:name="Xeb12395c02dd5b929d633dc8f4b007afd32a233"/>
    <w:p>
      <w:pPr>
        <w:pStyle w:val="Heading2"/>
      </w:pPr>
      <w:r>
        <w:t xml:space="preserve">The Oracle Alliance for Agentic Transformation</w:t>
      </w:r>
    </w:p>
    <w:p>
      <w:pPr>
        <w:pStyle w:val="BlockText"/>
      </w:pPr>
      <w:r>
        <w:t xml:space="preserve">A forcing memo for the leaders of Azure AI, Fabric, Foundry, M365 Copilot, Industry, Partner, Compliance, and Field — to align one strategy, one architecture, one GTM, and one set of FY26 milestones behind the Oracle × Microsoft alliance.</w:t>
      </w:r>
    </w:p>
    <w:p>
      <w:r>
        <w:pict>
          <v:rect style="width:0;height:1.5pt" o:hralign="center" o:hrstd="t" o:hr="t"/>
        </w:pict>
      </w:r>
    </w:p>
    <w:bookmarkEnd w:id="20"/>
    <w:bookmarkStart w:id="21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Oracle holds the</w:t>
      </w:r>
      <w:r>
        <w:t xml:space="preserve"> </w:t>
      </w:r>
      <w:r>
        <w:rPr>
          <w:bCs/>
          <w:b/>
        </w:rPr>
        <w:t xml:space="preserve">data of record</w:t>
      </w:r>
      <w:r>
        <w:t xml:space="preserve"> </w:t>
      </w:r>
      <w:r>
        <w:t xml:space="preserve">for the majority of the Fortune 2000. Microsoft holds the</w:t>
      </w:r>
      <w:r>
        <w:t xml:space="preserve"> </w:t>
      </w:r>
      <w:r>
        <w:rPr>
          <w:bCs/>
          <w:b/>
        </w:rPr>
        <w:t xml:space="preserve">system of work</w:t>
      </w:r>
      <w:r>
        <w:t xml:space="preserve"> </w:t>
      </w:r>
      <w:r>
        <w:t xml:space="preserve">for the same population. The seam between the two is where agentic value lives — and today it is un-owned.</w:t>
      </w:r>
    </w:p>
    <w:p>
      <w:pPr>
        <w:pStyle w:val="BodyText"/>
      </w:pPr>
      <w:r>
        <w:t xml:space="preserve">The Oracle × Microsoft alliance is the only stack that closes that seam end-to-end:</w:t>
      </w:r>
    </w:p>
    <w:p>
      <w:pPr>
        <w:pStyle w:val="BlockText"/>
      </w:pPr>
      <w:r>
        <w:rPr>
          <w:bCs/>
          <w:b/>
        </w:rPr>
        <w:t xml:space="preserve">Oracle data anywhere</w:t>
      </w:r>
      <w:r>
        <w:t xml:space="preserve"> </w:t>
      </w:r>
      <w:r>
        <w:t xml:space="preserve">(Fusion SaaS, Database@Azure, OCI, on-prem) →</w:t>
      </w:r>
      <w:r>
        <w:t xml:space="preserve"> </w:t>
      </w:r>
      <w:r>
        <w:rPr>
          <w:bCs/>
          <w:b/>
        </w:rPr>
        <w:t xml:space="preserve">Microsoft Fabric</w:t>
      </w:r>
      <w:r>
        <w:t xml:space="preserve"> </w:t>
      </w:r>
      <w:r>
        <w:t xml:space="preserve">semantic model →</w:t>
      </w:r>
      <w:r>
        <w:t xml:space="preserve"> </w:t>
      </w:r>
      <w:r>
        <w:rPr>
          <w:bCs/>
          <w:b/>
        </w:rPr>
        <w:t xml:space="preserve">Azure AI Foundry</w:t>
      </w:r>
      <w:r>
        <w:t xml:space="preserve"> </w:t>
      </w:r>
      <w:r>
        <w:t xml:space="preserve">agents →</w:t>
      </w:r>
      <w:r>
        <w:t xml:space="preserve"> </w:t>
      </w:r>
      <w:r>
        <w:rPr>
          <w:bCs/>
          <w:b/>
        </w:rPr>
        <w:t xml:space="preserve">Microsoft Graph</w:t>
      </w:r>
      <w:r>
        <w:t xml:space="preserve"> </w:t>
      </w:r>
      <w:r>
        <w:t xml:space="preserve">personalisation →</w:t>
      </w:r>
      <w:r>
        <w:t xml:space="preserve"> </w:t>
      </w:r>
      <w:r>
        <w:rPr>
          <w:bCs/>
          <w:b/>
        </w:rPr>
        <w:t xml:space="preserve">Microsoft Copilot</w:t>
      </w:r>
      <w:r>
        <w:t xml:space="preserve"> </w:t>
      </w:r>
      <w:r>
        <w:t xml:space="preserve">delivery, governed by</w:t>
      </w:r>
      <w:r>
        <w:t xml:space="preserve"> </w:t>
      </w:r>
      <w:r>
        <w:rPr>
          <w:bCs/>
          <w:b/>
        </w:rPr>
        <w:t xml:space="preserve">Microsoft Purview ↔ Oracle Data Safe</w:t>
      </w:r>
      <w:r>
        <w:t xml:space="preserve"> </w:t>
      </w:r>
      <w:r>
        <w:t xml:space="preserve">with one audit trail.</w:t>
      </w:r>
    </w:p>
    <w:p>
      <w:pPr>
        <w:pStyle w:val="FirstParagraph"/>
      </w:pPr>
      <w:r>
        <w:t xml:space="preserve">Most agentic programmes in market ship at Tier 1 (insight) and stall — they report, they never act. We can ship the full</w:t>
      </w:r>
      <w:r>
        <w:t xml:space="preserve"> </w:t>
      </w:r>
      <w:r>
        <w:rPr>
          <w:bCs/>
          <w:b/>
        </w:rPr>
        <w:t xml:space="preserve">Tier 0 → Tier 3</w:t>
      </w:r>
      <w:r>
        <w:t xml:space="preserve"> </w:t>
      </w:r>
      <w:r>
        <w:t xml:space="preserve">progression today. By Tier 3 the agent is not reporting on the business — it is</w:t>
      </w:r>
      <w:r>
        <w:t xml:space="preserve"> </w:t>
      </w:r>
      <w:r>
        <w:rPr>
          <w:bCs/>
          <w:b/>
        </w:rPr>
        <w:t xml:space="preserve">running parts of it</w:t>
      </w:r>
      <w:r>
        <w:t xml:space="preserve">, inside Outlook, Teams, and Copilot.</w:t>
      </w:r>
    </w:p>
    <w:p>
      <w:pPr>
        <w:pStyle w:val="BodyText"/>
      </w:pPr>
      <w:r>
        <w:rPr>
          <w:bCs/>
          <w:b/>
        </w:rPr>
        <w:t xml:space="preserve">The ask of this room:</w:t>
      </w:r>
      <w:r>
        <w:t xml:space="preserve"> </w:t>
      </w:r>
      <w:r>
        <w:t xml:space="preserve">lock the alliance as a top-three Microsoft platform bet for FY26, accept the proposed RACI across business units, and approve the phased build plan, the joint consumption flywheel, and the FY26 H1/H2 milestones below.</w:t>
      </w:r>
    </w:p>
    <w:p>
      <w:r>
        <w:pict>
          <v:rect style="width:0;height:1.5pt" o:hralign="center" o:hrstd="t" o:hr="t"/>
        </w:pict>
      </w:r>
    </w:p>
    <w:bookmarkEnd w:id="21"/>
    <w:bookmarkStart w:id="22" w:name="Xf687c69cd89ad937ab47b5b49ac6b69bbd221a3"/>
    <w:p>
      <w:pPr>
        <w:pStyle w:val="Heading2"/>
      </w:pPr>
      <w:r>
        <w:t xml:space="preserve">1. Why now</w:t>
      </w:r>
    </w:p>
    <w:p>
      <w:pPr>
        <w:pStyle w:val="FirstParagraph"/>
      </w:pPr>
      <w:r>
        <w:t xml:space="preserve">Three forcing functions converge in FY26: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Oracle install base is moving to agentic.</w:t>
      </w:r>
      <w:r>
        <w:t xml:space="preserve"> </w:t>
      </w:r>
      <w:r>
        <w:t xml:space="preserve">Oracle's customer demand has shifted from analytics to autonomous workflows. They will buy from whichever platform ships the seam first.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Microsoft surface has reached saturation as a worker UX.</w:t>
      </w:r>
      <w:r>
        <w:t xml:space="preserve"> </w:t>
      </w:r>
      <w:r>
        <w:t xml:space="preserve">M365 Copilot has the worker, Teams has the meeting, Outlook has the inbox. The next unlock is grounding those surfaces on the customer's own system of record.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agent runtime has reached production maturity.</w:t>
      </w:r>
      <w:r>
        <w:t xml:space="preserve"> </w:t>
      </w:r>
      <w:r>
        <w:t xml:space="preserve">Foundry + Agent 365 + A2A + MCP are no longer roadmap. P1 (Oracle → OneLake mirror) is GA. P2 (multi-agent in Copilot) is in flight. The window to set the standard is open and narrow.</w:t>
      </w:r>
    </w:p>
    <w:p>
      <w:pPr>
        <w:pStyle w:val="FirstParagraph"/>
      </w:pPr>
      <w:r>
        <w:t xml:space="preserve">The competitive set is responding.</w:t>
      </w:r>
      <w:r>
        <w:t xml:space="preserve"> </w:t>
      </w:r>
      <w:r>
        <w:rPr>
          <w:bCs/>
          <w:b/>
        </w:rPr>
        <w:t xml:space="preserve">Salesforce + Agentforce</w:t>
      </w:r>
      <w:r>
        <w:t xml:space="preserve"> </w:t>
      </w:r>
      <w:r>
        <w:t xml:space="preserve">is selling agents on Salesforce data.</w:t>
      </w:r>
      <w:r>
        <w:t xml:space="preserve"> </w:t>
      </w:r>
      <w:r>
        <w:rPr>
          <w:bCs/>
          <w:b/>
        </w:rPr>
        <w:t xml:space="preserve">SAP + Joule</w:t>
      </w:r>
      <w:r>
        <w:t xml:space="preserve"> </w:t>
      </w:r>
      <w:r>
        <w:t xml:space="preserve">is selling agents on SAP data.</w:t>
      </w:r>
      <w:r>
        <w:t xml:space="preserve"> </w:t>
      </w:r>
      <w:r>
        <w:rPr>
          <w:bCs/>
          <w:b/>
        </w:rPr>
        <w:t xml:space="preserve">ServiceNow + Now Assist</w:t>
      </w:r>
      <w:r>
        <w:t xml:space="preserve"> </w:t>
      </w:r>
      <w:r>
        <w:t xml:space="preserve">is selling agents on workflow data. None of them sit on Oracle's installed base, and none of them ship the worker surface where the work happens.</w:t>
      </w:r>
      <w:r>
        <w:t xml:space="preserve"> </w:t>
      </w:r>
      <w:r>
        <w:rPr>
          <w:bCs/>
          <w:b/>
        </w:rPr>
        <w:t xml:space="preserve">The cross-domain agentic opportunity on Oracle data is, today, ours to lose.</w:t>
      </w:r>
    </w:p>
    <w:p>
      <w:r>
        <w:pict>
          <v:rect style="width:0;height:1.5pt" o:hralign="center" o:hrstd="t" o:hr="t"/>
        </w:pict>
      </w:r>
    </w:p>
    <w:bookmarkEnd w:id="22"/>
    <w:bookmarkStart w:id="23" w:name="X0cbfdaab23ff19c887e7d5c4bd342826921b251"/>
    <w:p>
      <w:pPr>
        <w:pStyle w:val="Heading2"/>
      </w:pPr>
      <w:r>
        <w:t xml:space="preserve">2. The thesis — closing the seam</w:t>
      </w:r>
    </w:p>
    <w:p>
      <w:pPr>
        <w:pStyle w:val="FirstParagraph"/>
      </w:pPr>
      <w:r>
        <w:t xml:space="preserve">Two assets, one prize.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(where deployed)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customer, supplier, employee, financial, transactional data — Fusion SaaS, Database@Azure, OCI, on-premises.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of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worker actually decides and acts — Outlook, Teams, Copilot, Microsoft Graph.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Un-owned today.</w:t>
            </w:r>
            <w:r>
              <w:t xml:space="preserve"> </w:t>
            </w:r>
            <w:r>
              <w:t xml:space="preserve">The alliance closes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Grounded reasoning on Oracle data, governed end-to-end, delivered in the worker's flow.</w:t>
            </w:r>
          </w:p>
        </w:tc>
      </w:tr>
    </w:tbl>
    <w:p>
      <w:pPr>
        <w:pStyle w:val="BodyText"/>
      </w:pPr>
      <w:r>
        <w:t xml:space="preserve">The strategic argument to a customer is one sentence:</w:t>
      </w:r>
      <w:r>
        <w:t xml:space="preserve"> </w:t>
      </w:r>
      <w:r>
        <w:rPr>
          <w:bCs/>
          <w:b/>
        </w:rPr>
        <w:t xml:space="preserve">"Your data of record stays with Oracle. Your worker surface stays with Microsoft. The agent in between is the joint product."</w:t>
      </w:r>
      <w:r>
        <w:t xml:space="preserve"> </w:t>
      </w:r>
      <w:r>
        <w:t xml:space="preserve">That sentence diffuses the architecture-religion debate and aligns both vendors' incentives with the customer's.</w:t>
      </w:r>
    </w:p>
    <w:p>
      <w:r>
        <w:pict>
          <v:rect style="width:0;height:1.5pt" o:hralign="center" o:hrstd="t" o:hr="t"/>
        </w:pict>
      </w:r>
    </w:p>
    <w:bookmarkEnd w:id="23"/>
    <w:bookmarkStart w:id="24" w:name="X4879725e44c536f741ce5765f3419127e29b460"/>
    <w:p>
      <w:pPr>
        <w:pStyle w:val="Heading2"/>
      </w:pPr>
      <w:r>
        <w:t xml:space="preserve">3. What we sell — the four-tier progression</w:t>
      </w:r>
    </w:p>
    <w:p>
      <w:pPr>
        <w:pStyle w:val="FirstParagraph"/>
      </w:pPr>
      <w:r>
        <w:t xml:space="preserve">The same Oracle data, the same prompt, four very different agents. Each tier compounds on the last; the value is</w:t>
      </w:r>
      <w:r>
        <w:t xml:space="preserve"> </w:t>
      </w:r>
      <w:r>
        <w:rPr>
          <w:bCs/>
          <w:b/>
        </w:rPr>
        <w:t xml:space="preserve">multiplicative, not additive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T0 ·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and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Describes the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only — $0 incremental decision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 · + Fabric 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Quantifies, aggregates,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Defensible numbers without SQL. Days → minutes.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 · + Foundry 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 +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Ranks moves with $-impact, grounded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an analyst week with a conversation.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T3 · + Work 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Drafts the email, the Teams ping, the 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decision is in the calendar before the meeting starts.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compounding effect is the joint business case.</w:t>
      </w:r>
      <w:r>
        <w:t xml:space="preserve"> </w:t>
      </w:r>
      <w:r>
        <w:t xml:space="preserve">Most competitors stop at T1. The alliance ships T0 → T3.</w:t>
      </w:r>
    </w:p>
    <w:p>
      <w:pPr>
        <w:pStyle w:val="BodyText"/>
      </w:pPr>
      <w:r>
        <w:t xml:space="preserve">Three flagship demo scenarios, identical structure: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Supply Chain Risk</w:t>
      </w:r>
      <w:r>
        <w:t xml:space="preserve"> </w:t>
      </w:r>
      <w:r>
        <w:t xml:space="preserve">(Fusion SCM / Procurement) —</w:t>
      </w:r>
      <w:r>
        <w:t xml:space="preserve"> </w:t>
      </w:r>
      <w:r>
        <w:rPr>
          <w:iCs/>
          <w:i/>
        </w:rPr>
        <w:t xml:space="preserve">"What's our Q3 supply chain risk exposure in EMEA?"</w:t>
      </w:r>
      <w:r>
        <w:t xml:space="preserve"> </w:t>
      </w:r>
      <w:r>
        <w:t xml:space="preserve">T1 surfaces $47.2M EMEA exposure across 84 suppliers; T2 returns 5 prioritised de-risk plays with $18.6M mitigatable in Q3; T3 drafts the supplier emails and pre-fills the 10am ops sync.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Workforce Planning</w:t>
      </w:r>
      <w:r>
        <w:t xml:space="preserve"> </w:t>
      </w:r>
      <w:r>
        <w:t xml:space="preserve">(Fusion HCM) —</w:t>
      </w:r>
      <w:r>
        <w:t xml:space="preserve"> </w:t>
      </w:r>
      <w:r>
        <w:rPr>
          <w:iCs/>
          <w:i/>
        </w:rPr>
        <w:t xml:space="preserve">"Summarise open requisitions on my team and flag any at risk of FY-close."</w:t>
      </w:r>
      <w:r>
        <w:t xml:space="preserve"> </w:t>
      </w:r>
      <w:r>
        <w:t xml:space="preserve">T1 → 14 open reqs, 5 at FY-close risk; T2 → per-req re-scope/push/internal-mobility plan; T3 → Friday review with the manager pre-filled.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Customer Health</w:t>
      </w:r>
      <w:r>
        <w:t xml:space="preserve"> </w:t>
      </w:r>
      <w:r>
        <w:t xml:space="preserve">(Fusion CX) —</w:t>
      </w:r>
      <w:r>
        <w:t xml:space="preserve"> </w:t>
      </w:r>
      <w:r>
        <w:rPr>
          <w:iCs/>
          <w:i/>
        </w:rPr>
        <w:t xml:space="preserve">"Which accounts are showing churn signals, and what's the next play?"</w:t>
      </w:r>
      <w:r>
        <w:t xml:space="preserve"> </w:t>
      </w:r>
      <w:r>
        <w:t xml:space="preserve">T1 → 32 accounts, 4 at risk, $6.0M ARR exposed; T2 → highest-yield save play per account with $4.6M recoverable; T3 → QBR pre-loaded, CXO call prep ready.</w:t>
      </w:r>
    </w:p>
    <w:p>
      <w:pPr>
        <w:pStyle w:val="FirstParagraph"/>
      </w:pPr>
      <w:r>
        <w:t xml:space="preserve">These three are the seed demos. The industry blueprints (§6) are the production line.</w:t>
      </w:r>
    </w:p>
    <w:p>
      <w:r>
        <w:pict>
          <v:rect style="width:0;height:1.5pt" o:hralign="center" o:hrstd="t" o:hr="t"/>
        </w:pict>
      </w:r>
    </w:p>
    <w:bookmarkEnd w:id="24"/>
    <w:bookmarkStart w:id="30" w:name="Xa4526db12765d1fccca11402819e9f14f06deef"/>
    <w:p>
      <w:pPr>
        <w:pStyle w:val="Heading2"/>
      </w:pPr>
      <w:r>
        <w:t xml:space="preserve">4. What we ship — three patterns, two bridges</w:t>
      </w:r>
    </w:p>
    <w:bookmarkStart w:id="25" w:name="three-integration-patterns"/>
    <w:p>
      <w:pPr>
        <w:pStyle w:val="Heading3"/>
      </w:pPr>
      <w:r>
        <w:t xml:space="preserve">Three integration patterns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→ OneLake mirror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Fusion / DB@Azure / OCI / on-prem into Microsoft Fabric so Copilot can reason over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for analytical, cross-domain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 agents in Copilot via Agent 365 + 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in Foundry, manage in Agent 365, deliver in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need a custom, specialised, multi-agent flow in the worker's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agents via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Oracle-native agents (Fusion AI Agents, OCI workloads) participate in Copilot via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action must execute inside Oracle (write-backs, transactions, policy-bound)</w:t>
            </w:r>
          </w:p>
        </w:tc>
      </w:tr>
    </w:tbl>
    <w:bookmarkEnd w:id="25"/>
    <w:bookmarkStart w:id="26" w:name="two-bridges-the-joint-accelerators"/>
    <w:p>
      <w:pPr>
        <w:pStyle w:val="Heading3"/>
      </w:pPr>
      <w:r>
        <w:t xml:space="preserve">Two bridges (the joint accelerators)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Ontology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Oracle's business model into the Fabric semantic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Cuts months of semantic-modelling out of every deployment. Without it, every customer rebuilds supplier-risk from scratch.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 classifications, masking, lineage from Oracle Data Safe through to Microsoft Purview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the architecture defensible. Without it, security teams block the rollout — or worse, the rollout ships without controls.</w:t>
            </w:r>
          </w:p>
        </w:tc>
      </w:tr>
    </w:tbl>
    <w:bookmarkEnd w:id="26"/>
    <w:bookmarkStart w:id="27" w:name="cross-cutting"/>
    <w:p>
      <w:pPr>
        <w:pStyle w:val="Heading3"/>
      </w:pPr>
      <w:r>
        <w:t xml:space="preserve">Cross-cutting</w:t>
      </w:r>
    </w:p>
    <w:p>
      <w:pPr>
        <w:pStyle w:val="FirstParagraph"/>
      </w:pPr>
      <w:r>
        <w:t xml:space="preserve">Identity (Entra ID + Oracle IAM) · Observability (Foundry traces + Application Insights + Purview audit + Oracle Audit Vault) · Quality (Foundry evals + golden datasets) · FinOps (Azure Cost Management + OCI cost analytics) · Reliability (joint SLA, single point of accountability per workflow) · Open standards (MCP, A2A, OpenLineage, OAuth 2.0, OData, OpenAPI).</w:t>
      </w:r>
    </w:p>
    <w:bookmarkEnd w:id="27"/>
    <w:bookmarkStart w:id="28" w:name="performance-targets"/>
    <w:p>
      <w:pPr>
        <w:pStyle w:val="Heading3"/>
      </w:pPr>
      <w:r>
        <w:t xml:space="preserve">Performance targets</w:t>
      </w:r>
    </w:p>
    <w:p>
      <w:pPr>
        <w:numPr>
          <w:ilvl w:val="0"/>
          <w:numId w:val="1003"/>
        </w:numPr>
        <w:pStyle w:val="Compact"/>
      </w:pPr>
      <w:r>
        <w:t xml:space="preserve">Question → grounded answer:</w:t>
      </w:r>
      <w:r>
        <w:t xml:space="preserve"> </w:t>
      </w:r>
      <w:r>
        <w:rPr>
          <w:bCs/>
          <w:b/>
        </w:rPr>
        <w:t xml:space="preserve">&lt; 8s p95</w:t>
      </w:r>
    </w:p>
    <w:p>
      <w:pPr>
        <w:numPr>
          <w:ilvl w:val="0"/>
          <w:numId w:val="1003"/>
        </w:numPr>
        <w:pStyle w:val="Compact"/>
      </w:pPr>
      <w:r>
        <w:t xml:space="preserve">Mirror replication lag:</w:t>
      </w:r>
      <w:r>
        <w:t xml:space="preserve"> </w:t>
      </w:r>
      <w:r>
        <w:rPr>
          <w:bCs/>
          <w:b/>
        </w:rPr>
        <w:t xml:space="preserve">&lt; 60s p95</w:t>
      </w:r>
    </w:p>
    <w:p>
      <w:pPr>
        <w:numPr>
          <w:ilvl w:val="0"/>
          <w:numId w:val="1003"/>
        </w:numPr>
        <w:pStyle w:val="Compact"/>
      </w:pPr>
      <w:r>
        <w:t xml:space="preserve">Composite agent uptime:</w:t>
      </w:r>
      <w:r>
        <w:t xml:space="preserve"> </w:t>
      </w:r>
      <w:r>
        <w:rPr>
          <w:bCs/>
          <w:b/>
        </w:rPr>
        <w:t xml:space="preserve">99.9% monthly</w:t>
      </w:r>
    </w:p>
    <w:p>
      <w:pPr>
        <w:numPr>
          <w:ilvl w:val="0"/>
          <w:numId w:val="1003"/>
        </w:numPr>
        <w:pStyle w:val="Compact"/>
      </w:pPr>
      <w:r>
        <w:t xml:space="preserve">Cross-region failover:</w:t>
      </w:r>
      <w:r>
        <w:t xml:space="preserve"> </w:t>
      </w:r>
      <w:r>
        <w:rPr>
          <w:bCs/>
          <w:b/>
        </w:rPr>
        <w:t xml:space="preserve">&lt; 5 min RTO</w:t>
      </w:r>
    </w:p>
    <w:bookmarkEnd w:id="28"/>
    <w:bookmarkStart w:id="29" w:name="compliance-posture"/>
    <w:p>
      <w:pPr>
        <w:pStyle w:val="Heading3"/>
      </w:pPr>
      <w:r>
        <w:t xml:space="preserve">Compliance posture</w:t>
      </w:r>
    </w:p>
    <w:p>
      <w:pPr>
        <w:pStyle w:val="FirstParagraph"/>
      </w:pPr>
      <w:r>
        <w:t xml:space="preserve">SOC 2 Type II · ISO 27001 / 27017 / 27018 · FedRAMP High · GDPR · EU Data Boundary · HIPAA / HITRUST · FIPS 140-3 — all</w:t>
      </w:r>
      <w:r>
        <w:t xml:space="preserve"> </w:t>
      </w:r>
      <w:r>
        <w:rPr>
          <w:bCs/>
          <w:b/>
        </w:rPr>
        <w:t xml:space="preserve">covered today, both clouds</w:t>
      </w:r>
      <w:r>
        <w:t xml:space="preserve">. Microsoft Sovereign Cloud + Oracle EU Sovereign Cloud + DoD IL5/IL6 —</w:t>
      </w:r>
      <w:r>
        <w:t xml:space="preserve"> </w:t>
      </w:r>
      <w:r>
        <w:rPr>
          <w:bCs/>
          <w:b/>
        </w:rPr>
        <w:t xml:space="preserve">in scope, on roadmap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a67af51bdc0d687737859f4e1137855ba1f341c"/>
    <w:p>
      <w:pPr>
        <w:pStyle w:val="Heading2"/>
      </w:pPr>
      <w:r>
        <w:t xml:space="preserve">5. The economics — joint consumption flywheel</w:t>
      </w:r>
    </w:p>
    <w:p>
      <w:pPr>
        <w:pStyle w:val="FirstParagraph"/>
      </w:pPr>
      <w:r>
        <w:t xml:space="preserve">One workflow lights up</w:t>
      </w:r>
      <w:r>
        <w:t xml:space="preserve"> </w:t>
      </w:r>
      <w:r>
        <w:rPr>
          <w:bCs/>
          <w:b/>
        </w:rPr>
        <w:t xml:space="preserve">five revenue lines on each side</w:t>
      </w:r>
      <w:r>
        <w:t xml:space="preserve"> </w:t>
      </w:r>
      <w:r>
        <w:t xml:space="preserve">— and a joint $-meter that grows with depth of deployment, not just seat count.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 in the worker's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Worker asks question in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for M365 (per-seat ARR)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Fusion (per-user subscription)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Foundry agent reasons / retrieves /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AI Foundry tokens · Agent 365 control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AI Agents (when invoked)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Reads from Fabric semantic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 capacity (CU) · OneLake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GoldenGate (replication metering)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Source data lives in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DB@Azure passthrough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DB@Azure consumption · OCI compute &amp; storage · Fusion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Governance, lineage,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Purview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Data Safe · Audit Vault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Implication for Microsoft:</w:t>
      </w:r>
      <w:r>
        <w:t xml:space="preserve"> </w:t>
      </w:r>
      <w:r>
        <w:t xml:space="preserve">every Tier-3 deployment lights up Copilot per-seat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Foundry tokens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Fabric CU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OneLake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Purview — not a substitution between SKUs but compounding consumption across the stack. This is the right shape for FY26 ARR planning.</w:t>
      </w:r>
    </w:p>
    <w:p>
      <w:r>
        <w:pict>
          <v:rect style="width:0;height:1.5pt" o:hralign="center" o:hrstd="t" o:hr="t"/>
        </w:pict>
      </w:r>
    </w:p>
    <w:bookmarkEnd w:id="31"/>
    <w:bookmarkStart w:id="35" w:name="Xd4d3565a55bad5e0ff603941fa518e2b69be46f"/>
    <w:p>
      <w:pPr>
        <w:pStyle w:val="Heading2"/>
      </w:pPr>
      <w:r>
        <w:t xml:space="preserve">6. The market — competition, migrations, industry blueprints</w:t>
      </w:r>
    </w:p>
    <w:bookmarkStart w:id="32" w:name="competitive-frame"/>
    <w:p>
      <w:pPr>
        <w:pStyle w:val="Heading3"/>
      </w:pPr>
      <w:r>
        <w:t xml:space="preserve">Competitive frame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alliance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Salesforce + Agentforce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on Salesforce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Cross-domain agents on Oracle's deeper system of record; worker surface where work happens (Outlook/Teams/Copilot, not Slack/Salesforce).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SAP + Joule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on SAP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— different installed base. SAP customers running Oracle modules go alliance-first.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 + Now Assist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on workflow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Coexistence, not competition.</w:t>
            </w:r>
            <w:r>
              <w:t xml:space="preserve"> </w:t>
            </w:r>
            <w:r>
              <w:t xml:space="preserve">ServiceNow as a tool participant via MCP; agentic decisions grounded in Oracle data.</w:t>
            </w:r>
          </w:p>
        </w:tc>
      </w:tr>
    </w:tbl>
    <w:bookmarkEnd w:id="32"/>
    <w:bookmarkStart w:id="33" w:name="migration-patterns"/>
    <w:p>
      <w:pPr>
        <w:pStyle w:val="Heading3"/>
      </w:pPr>
      <w:r>
        <w:t xml:space="preserve">Migration patterns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Salesforce + Agentforce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Alliance with Oracle CX as 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Sales-rep UI, CRM record patterns, sales process; CRM data mirrored into OneLake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runtime → Foundry; reasoning grounded in Oracle source; agent surface in Copilot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ServiceNow + Now Assist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 workflows, case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 becomes a tool participant via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 + Joule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ERP for SAP-native flows; Joule for SAP-native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cross-domain agents on alliance stack; Oracle modules go alliance-first</w:t>
            </w:r>
          </w:p>
        </w:tc>
      </w:tr>
    </w:tbl>
    <w:bookmarkEnd w:id="33"/>
    <w:bookmarkStart w:id="34" w:name="Xc0111fce6e934253a56b3866859f9d7f146b812"/>
    <w:p>
      <w:pPr>
        <w:pStyle w:val="Heading3"/>
      </w:pPr>
      <w:r>
        <w:t xml:space="preserve">Industry blueprints (production-ready GTM motions)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Flagship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Banking &amp; Capital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Loan-portfolio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OFSAA · Fusion 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in Teams for RMs; Outlook to risk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Manufacturing &amp; 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performance + supplier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SCM · Procurement · IoT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on Teams Walls in plant ops 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Retail &amp;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+ customer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Retail Suite · Fusion CX · Loyalty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for store managers; Teams to district leadership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 service +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Sector Cloud · Fusion HCM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for caseworkers; Graph for case routing/SLA</w:t>
            </w:r>
          </w:p>
        </w:tc>
      </w:tr>
    </w:tbl>
    <w:p>
      <w:pPr>
        <w:pStyle w:val="BodyText"/>
      </w:pPr>
      <w:r>
        <w:t xml:space="preserve">Packaged with SI partners (Accenture, Deloitte, EY, Capgemini) — partner co-funded enablement programme.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4e08c72828ef307ea3c5ac8547c8a1e30c6143b"/>
    <w:p>
      <w:pPr>
        <w:pStyle w:val="Heading2"/>
      </w:pPr>
      <w:r>
        <w:t xml:space="preserve">7. The build plan — phased roadmap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Oracle → OneLake mirror (Fabric Mirroring + GoldenGate)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2 quarters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Ontology Bridge accelerator (SCM, HCM, CX domains)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flight</w:t>
            </w:r>
            <w:r>
              <w:t xml:space="preserve"> </w:t>
            </w:r>
            <w:r>
              <w:t xml:space="preserve">— pilot with reference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FY26 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Foundry agents in Copilot via Agent 365 + A2A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flight</w:t>
            </w:r>
            <w:r>
              <w:t xml:space="preserve"> </w:t>
            </w:r>
            <w:r>
              <w:t xml:space="preserve">— Agent 365 in preview from Ignite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FY26 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Bridge (Data Safe ↔ Purview)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flight</w:t>
            </w:r>
            <w:r>
              <w:t xml:space="preserve"> </w:t>
            </w:r>
            <w:r>
              <w:t xml:space="preserve">— sensitivity-label flow + lineage in private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— Oracle agents via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Planned</w:t>
            </w:r>
            <w:r>
              <w:t xml:space="preserve"> </w:t>
            </w:r>
            <w:r>
              <w:t xml:space="preserve">— design partners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blueprints (Banking · Mfg · Retail · Public Sector)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Planned</w:t>
            </w:r>
            <w:r>
              <w:t xml:space="preserve"> </w:t>
            </w:r>
            <w:r>
              <w:t xml:space="preserve">— SI co-development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path for FY26:</w:t>
      </w:r>
      <w:r>
        <w:t xml:space="preserve"> </w:t>
      </w:r>
      <w:r>
        <w:t xml:space="preserve">Ontology Bridge to GA, Governance Bridge to GA, Agent 365 to GA, three industry blueprints to packaged GTM.</w:t>
      </w:r>
    </w:p>
    <w:p>
      <w:r>
        <w:pict>
          <v:rect style="width:0;height:1.5pt" o:hralign="center" o:hrstd="t" o:hr="t"/>
        </w:pict>
      </w:r>
    </w:p>
    <w:bookmarkEnd w:id="36"/>
    <w:bookmarkStart w:id="37" w:name="X301e62942de36bf6be3cacdbdc32d2813edf237"/>
    <w:p>
      <w:pPr>
        <w:pStyle w:val="Heading2"/>
      </w:pPr>
      <w:r>
        <w:t xml:space="preserve">8. The org — ownership across Microsoft</w:t>
      </w:r>
    </w:p>
    <w:p>
      <w:pPr>
        <w:pStyle w:val="FirstParagraph"/>
      </w:pPr>
      <w:r>
        <w:t xml:space="preserve">Proposed RACI. Each row has one</w:t>
      </w:r>
      <w:r>
        <w:t xml:space="preserve"> </w:t>
      </w:r>
      <w:r>
        <w:rPr>
          <w:bCs/>
          <w:b/>
        </w:rPr>
        <w:t xml:space="preserve">A</w:t>
      </w:r>
      <w:r>
        <w:t xml:space="preserve">ccountable owner.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(Accountable)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(Responsible)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(Consulted)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architecture (P1/P2/P3)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AI Foundry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 · Fabric · Agent 365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joint architecture council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Ontology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 semantic + Industry 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Fusion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eng ·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Data Safe / Audit Vault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365 + A2A productisation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 Copilot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365 eng · Copilot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servers for Oracle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 DevEx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 SDK eng · Oracle developer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/ OSS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consumption modelling +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office (Cloud +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FinOps · Copilot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GTM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blueprints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GTM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verticals (FSI, Mfg, Retail, PubSec) · SI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GTM motion +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sales · partner co-sell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GTM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named Fortune 500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account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+ sovereignty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· Microsoft Cloud for Sovereignty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Sovereign Cloud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+ win-rate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analytics · Industry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office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28bfd08755274b5c84c47d7f0e66f21c8edeaa8"/>
    <w:p>
      <w:pPr>
        <w:pStyle w:val="Heading2"/>
      </w:pPr>
      <w:r>
        <w:t xml:space="preserve">9. Asks — what we need from this room</w:t>
      </w:r>
    </w:p>
    <w:p>
      <w:pPr>
        <w:pStyle w:val="FirstParagraph"/>
      </w:pPr>
      <w:r>
        <w:t xml:space="preserve">Concrete, named, time-bound: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Azure / Foundry leadership</w:t>
      </w:r>
      <w:r>
        <w:t xml:space="preserve"> </w:t>
      </w:r>
      <w:r>
        <w:t xml:space="preserve">— commit Foundry product capacity for Ontology Bridge GA in FY26 H1 and Agent 365 + A2A GA in FY26 H2. Fund three reference industry blueprints with named eng owners.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Fabric leadership</w:t>
      </w:r>
      <w:r>
        <w:t xml:space="preserve"> </w:t>
      </w:r>
      <w:r>
        <w:t xml:space="preserve">— commit semantic-model investment for the SCM, HCM, and CX ontologies. Publish certified-measure templates as first-class Fabric assets.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M365 Copilot leadership</w:t>
      </w:r>
      <w:r>
        <w:t xml:space="preserve"> </w:t>
      </w:r>
      <w:r>
        <w:t xml:space="preserve">— designate the alliance as a Tier-1 Copilot grounding source. Approve Agent 365 surfacing of alliance agents in the Copilot ribbon, Outlook, and Teams.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Purview / Compliance leadership</w:t>
      </w:r>
      <w:r>
        <w:t xml:space="preserve"> </w:t>
      </w:r>
      <w:r>
        <w:t xml:space="preserve">— fund Governance Bridge to GA in FY26 H2. Sponsor the joint sovereignty roadmap with Oracle EU Sovereign and Microsoft Sovereign Cloud.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Industry GTM</w:t>
      </w:r>
      <w:r>
        <w:t xml:space="preserve"> </w:t>
      </w:r>
      <w:r>
        <w:t xml:space="preserve">— name an Industry CTO per blueprint vertical (FSI, Mfg, Retail, Public Sector). Stand up the customer council with 8–12 Fortune 500 customers in 60 days.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Commercial / Field</w:t>
      </w:r>
      <w:r>
        <w:t xml:space="preserve"> </w:t>
      </w:r>
      <w:r>
        <w:t xml:space="preserve">— embed the alliance in the FY26 commercial motion. Co-sell compensation parity with hyperscale workloads. Joint account planning with Oracle field on the top 200 mutual accounts.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Partner organisation</w:t>
      </w:r>
      <w:r>
        <w:t xml:space="preserve"> </w:t>
      </w:r>
      <w:r>
        <w:t xml:space="preserve">— co-funded enablement programme with Accenture, Deloitte, EY, Capgemini. Industry-blueprint packaging owned by partners with Microsoft + Oracle co-marketing.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CFO office</w:t>
      </w:r>
      <w:r>
        <w:t xml:space="preserve"> </w:t>
      </w:r>
      <w:r>
        <w:t xml:space="preserve">— adopt the joint consumption flywheel as the FY26 forecasting model for this segment. Five-line ARR attribution per deployed workflow.</w:t>
      </w:r>
    </w:p>
    <w:p>
      <w:pPr>
        <w:pStyle w:val="FirstParagraph"/>
      </w:pPr>
      <w:r>
        <w:rPr>
          <w:bCs/>
          <w:b/>
        </w:rPr>
        <w:t xml:space="preserve">No business unit is asked to subordinate its P&amp;L to the alliance.</w:t>
      </w:r>
      <w:r>
        <w:t xml:space="preserve"> </w:t>
      </w:r>
      <w:r>
        <w:t xml:space="preserve">Each asks compounds the BU's own ARR.</w:t>
      </w:r>
    </w:p>
    <w:p>
      <w:r>
        <w:pict>
          <v:rect style="width:0;height:1.5pt" o:hralign="center" o:hrstd="t" o:hr="t"/>
        </w:pict>
      </w:r>
    </w:p>
    <w:bookmarkEnd w:id="38"/>
    <w:bookmarkStart w:id="39" w:name="Xd23567b368629d7d6e369ba0946f4da9ea6a469"/>
    <w:p>
      <w:pPr>
        <w:pStyle w:val="Heading2"/>
      </w:pPr>
      <w:r>
        <w:t xml:space="preserve">10. Risks and mitigations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treats us as a second-class data destination; preferences OCI for the agent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seam thesis is the answer: Oracle data anywhere, Microsoft worker surface. P3 (MCP) gives Oracle a first-class lane for write-back agents. Joint architecture council with co-decision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 treat the deployment as a science project — pilot, no 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blueprints with packaged ARR + outcome SLAs. Customer council to surface ramp blockers in real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Salesforce / SAP counter with their own Microsoft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win on cross-domain depth (Oracle's installed base) and on the worker surface (M365 Copilot). Migration patterns make it cheap to come 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/ sovereignty blocks public-sector and regulated 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posture (FedRAMP High, EU Data Boundary, IL5/6 in-scope) is a feature, not a tax. Governance Bridge ships sensitivity labels end-to-end.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Microsoft seam between Azure / Fabric / Foundry / M365 — slow co-decision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document, owned by a single named exec sponsor. Monthly steering with the eight workstream owners.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 cycle drives over-promising at T2; customers stall before 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and sell the</w:t>
            </w:r>
            <w:r>
              <w:t xml:space="preserve"> </w:t>
            </w:r>
            <w:r>
              <w:rPr>
                <w:bCs/>
                <w:b/>
              </w:rPr>
              <w:t xml:space="preserve">compounding effect</w:t>
            </w:r>
            <w:r>
              <w:t xml:space="preserve"> </w:t>
            </w:r>
            <w:r>
              <w:t xml:space="preserve">explicitly — T1 alone is not the value. Reference architectures default to a T3 destination.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665714aea60113e821d97ed6844540869c7c3b2"/>
    <w:p>
      <w:pPr>
        <w:pStyle w:val="Heading2"/>
      </w:pPr>
      <w:r>
        <w:t xml:space="preserve">11. First 30 / 60 / 90 days</w:t>
      </w:r>
    </w:p>
    <w:p>
      <w:pPr>
        <w:pStyle w:val="FirstParagraph"/>
      </w:pPr>
      <w:r>
        <w:rPr>
          <w:bCs/>
          <w:b/>
        </w:rPr>
        <w:t xml:space="preserve">Day 0 — this meeting:</w:t>
      </w:r>
      <w:r>
        <w:t xml:space="preserve"> </w:t>
      </w:r>
      <w:r>
        <w:t xml:space="preserve">lock the strategy, name the exec sponsor, accept the RACI, fund the FY26 H1 milestones.</w:t>
      </w:r>
    </w:p>
    <w:p>
      <w:pPr>
        <w:pStyle w:val="BodyText"/>
      </w:pPr>
      <w:r>
        <w:rPr>
          <w:bCs/>
          <w:b/>
        </w:rPr>
        <w:t xml:space="preserve">Day 30:</w:t>
      </w:r>
    </w:p>
    <w:p>
      <w:pPr>
        <w:numPr>
          <w:ilvl w:val="0"/>
          <w:numId w:val="1005"/>
        </w:numPr>
        <w:pStyle w:val="Compact"/>
      </w:pPr>
      <w:r>
        <w:t xml:space="preserve">Eight workstream owners named and chartered</w:t>
      </w:r>
    </w:p>
    <w:p>
      <w:pPr>
        <w:numPr>
          <w:ilvl w:val="0"/>
          <w:numId w:val="1005"/>
        </w:numPr>
        <w:pStyle w:val="Compact"/>
      </w:pPr>
      <w:r>
        <w:t xml:space="preserve">Customer council convened (8–12 named accounts)</w:t>
      </w:r>
    </w:p>
    <w:p>
      <w:pPr>
        <w:numPr>
          <w:ilvl w:val="0"/>
          <w:numId w:val="1005"/>
        </w:numPr>
        <w:pStyle w:val="Compact"/>
      </w:pPr>
      <w:r>
        <w:t xml:space="preserve">Joint architecture council with Oracle stood up</w:t>
      </w:r>
    </w:p>
    <w:p>
      <w:pPr>
        <w:numPr>
          <w:ilvl w:val="0"/>
          <w:numId w:val="1005"/>
        </w:numPr>
        <w:pStyle w:val="Compact"/>
      </w:pPr>
      <w:r>
        <w:t xml:space="preserve">Single FY26 milestone tracker live</w:t>
      </w:r>
    </w:p>
    <w:p>
      <w:pPr>
        <w:numPr>
          <w:ilvl w:val="0"/>
          <w:numId w:val="1005"/>
        </w:numPr>
        <w:pStyle w:val="Compact"/>
      </w:pPr>
      <w:r>
        <w:t xml:space="preserve">Field commercial motion drafted</w:t>
      </w:r>
    </w:p>
    <w:p>
      <w:pPr>
        <w:pStyle w:val="FirstParagraph"/>
      </w:pPr>
      <w:r>
        <w:rPr>
          <w:bCs/>
          <w:b/>
        </w:rPr>
        <w:t xml:space="preserve">Day 60:</w:t>
      </w:r>
    </w:p>
    <w:p>
      <w:pPr>
        <w:numPr>
          <w:ilvl w:val="0"/>
          <w:numId w:val="1006"/>
        </w:numPr>
        <w:pStyle w:val="Compact"/>
      </w:pPr>
      <w:r>
        <w:t xml:space="preserve">Ontology Bridge pilot live with three reference customers</w:t>
      </w:r>
    </w:p>
    <w:p>
      <w:pPr>
        <w:numPr>
          <w:ilvl w:val="0"/>
          <w:numId w:val="1006"/>
        </w:numPr>
        <w:pStyle w:val="Compact"/>
      </w:pPr>
      <w:r>
        <w:t xml:space="preserve">Governance Bridge private preview live with Oracle Data Safe team</w:t>
      </w:r>
    </w:p>
    <w:p>
      <w:pPr>
        <w:numPr>
          <w:ilvl w:val="0"/>
          <w:numId w:val="1006"/>
        </w:numPr>
        <w:pStyle w:val="Compact"/>
      </w:pPr>
      <w:r>
        <w:t xml:space="preserve">Industry CTOs named for FSI, Mfg, Retail, Public Sector</w:t>
      </w:r>
    </w:p>
    <w:p>
      <w:pPr>
        <w:numPr>
          <w:ilvl w:val="0"/>
          <w:numId w:val="1006"/>
        </w:numPr>
        <w:pStyle w:val="Compact"/>
      </w:pPr>
      <w:r>
        <w:t xml:space="preserve">Partner co-funded enablement programme launched (Accenture, Deloitte, EY, Capgemini)</w:t>
      </w:r>
    </w:p>
    <w:p>
      <w:pPr>
        <w:numPr>
          <w:ilvl w:val="0"/>
          <w:numId w:val="1006"/>
        </w:numPr>
        <w:pStyle w:val="Compact"/>
      </w:pPr>
      <w:r>
        <w:t xml:space="preserve">Joint consumption forecasting model adopted by CFO office</w:t>
      </w:r>
    </w:p>
    <w:p>
      <w:pPr>
        <w:pStyle w:val="FirstParagraph"/>
      </w:pPr>
      <w:r>
        <w:rPr>
          <w:bCs/>
          <w:b/>
        </w:rPr>
        <w:t xml:space="preserve">Day 90:</w:t>
      </w:r>
    </w:p>
    <w:p>
      <w:pPr>
        <w:numPr>
          <w:ilvl w:val="0"/>
          <w:numId w:val="1007"/>
        </w:numPr>
        <w:pStyle w:val="Compact"/>
      </w:pPr>
      <w:r>
        <w:t xml:space="preserve">Three industry blueprints in customer pilot</w:t>
      </w:r>
    </w:p>
    <w:p>
      <w:pPr>
        <w:numPr>
          <w:ilvl w:val="0"/>
          <w:numId w:val="1007"/>
        </w:numPr>
        <w:pStyle w:val="Compact"/>
      </w:pPr>
      <w:r>
        <w:t xml:space="preserve">First T3 reference deployment in production with a named customer</w:t>
      </w:r>
    </w:p>
    <w:p>
      <w:pPr>
        <w:numPr>
          <w:ilvl w:val="0"/>
          <w:numId w:val="1007"/>
        </w:numPr>
        <w:pStyle w:val="Compact"/>
      </w:pPr>
      <w:r>
        <w:t xml:space="preserve">FY26 H2 GA dates locked for Agent 365, Governance Bridge</w:t>
      </w:r>
    </w:p>
    <w:p>
      <w:pPr>
        <w:numPr>
          <w:ilvl w:val="0"/>
          <w:numId w:val="1007"/>
        </w:numPr>
        <w:pStyle w:val="Compact"/>
      </w:pPr>
      <w:r>
        <w:t xml:space="preserve">Field comp parity in place</w:t>
      </w:r>
    </w:p>
    <w:p>
      <w:pPr>
        <w:numPr>
          <w:ilvl w:val="0"/>
          <w:numId w:val="1007"/>
        </w:numPr>
        <w:pStyle w:val="Compact"/>
      </w:pPr>
      <w:r>
        <w:t xml:space="preserve">First quarterly business review of the alliance</w:t>
      </w:r>
    </w:p>
    <w:p>
      <w:r>
        <w:pict>
          <v:rect style="width:0;height:1.5pt" o:hralign="center" o:hrstd="t" o:hr="t"/>
        </w:pict>
      </w:r>
    </w:p>
    <w:bookmarkEnd w:id="40"/>
    <w:bookmarkStart w:id="43" w:name="appendix"/>
    <w:p>
      <w:pPr>
        <w:pStyle w:val="Heading2"/>
      </w:pPr>
      <w:r>
        <w:t xml:space="preserve">Appendix</w:t>
      </w:r>
    </w:p>
    <w:bookmarkStart w:id="41" w:name="a-reference-materials"/>
    <w:p>
      <w:pPr>
        <w:pStyle w:val="Heading3"/>
      </w:pPr>
      <w:r>
        <w:t xml:space="preserve">A. Reference materials</w:t>
      </w:r>
    </w:p>
    <w:p>
      <w:pPr>
        <w:numPr>
          <w:ilvl w:val="0"/>
          <w:numId w:val="1008"/>
        </w:numPr>
        <w:pStyle w:val="Compact"/>
      </w:pPr>
      <w:r>
        <w:t xml:space="preserve">Live demo portal — three scenarios, four tiers, full architecture:</w:t>
      </w:r>
      <w:r>
        <w:t xml:space="preserve"> </w:t>
      </w:r>
      <w:r>
        <w:rPr>
          <w:rStyle w:val="VerbatimChar"/>
        </w:rPr>
        <w:t xml:space="preserve">/scenario/*</w:t>
      </w:r>
      <w:r>
        <w:t xml:space="preserve">,</w:t>
      </w:r>
      <w:r>
        <w:t xml:space="preserve"> </w:t>
      </w:r>
      <w:r>
        <w:rPr>
          <w:rStyle w:val="VerbatimChar"/>
        </w:rPr>
        <w:t xml:space="preserve">/tier/*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/how-we-enable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/joint-value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/exec-summary</w:t>
      </w:r>
    </w:p>
    <w:p>
      <w:pPr>
        <w:numPr>
          <w:ilvl w:val="0"/>
          <w:numId w:val="1008"/>
        </w:numPr>
        <w:pStyle w:val="Compact"/>
      </w:pPr>
      <w:r>
        <w:t xml:space="preserve">Scenarios deck (PowerPoint, downloadable):</w:t>
      </w:r>
      <w:r>
        <w:t xml:space="preserve"> </w:t>
      </w:r>
      <w:r>
        <w:rPr>
          <w:rStyle w:val="VerbatimChar"/>
        </w:rPr>
        <w:t xml:space="preserve">docs/decks/scenarios.pptx</w:t>
      </w:r>
    </w:p>
    <w:p>
      <w:pPr>
        <w:numPr>
          <w:ilvl w:val="0"/>
          <w:numId w:val="1008"/>
        </w:numPr>
        <w:pStyle w:val="Compact"/>
      </w:pPr>
      <w:r>
        <w:t xml:space="preserve">Architecture diagram:</w:t>
      </w:r>
      <w:r>
        <w:t xml:space="preserve"> </w:t>
      </w:r>
      <w:r>
        <w:rPr>
          <w:rStyle w:val="VerbatimChar"/>
        </w:rPr>
        <w:t xml:space="preserve">/joint-value</w:t>
      </w:r>
      <w:r>
        <w:t xml:space="preserve"> </w:t>
      </w:r>
      <w:r>
        <w:t xml:space="preserve">(the policy-flow, system-of-record, and worker-surface bands)</w:t>
      </w:r>
    </w:p>
    <w:p>
      <w:pPr>
        <w:numPr>
          <w:ilvl w:val="0"/>
          <w:numId w:val="1008"/>
        </w:numPr>
        <w:pStyle w:val="Compact"/>
      </w:pPr>
      <w:r>
        <w:t xml:space="preserve">Consumption flywheel detail:</w:t>
      </w:r>
      <w:r>
        <w:t xml:space="preserve"> </w:t>
      </w:r>
      <w:r>
        <w:rPr>
          <w:rStyle w:val="VerbatimChar"/>
        </w:rPr>
        <w:t xml:space="preserve">/exec-summary</w:t>
      </w:r>
      <w:r>
        <w:t xml:space="preserve"> </w:t>
      </w:r>
      <w:r>
        <w:t xml:space="preserve">(Section 4)</w:t>
      </w:r>
    </w:p>
    <w:p>
      <w:pPr>
        <w:numPr>
          <w:ilvl w:val="0"/>
          <w:numId w:val="1008"/>
        </w:numPr>
        <w:pStyle w:val="Compact"/>
      </w:pPr>
      <w:r>
        <w:t xml:space="preserve">Maturity rows + dependency graph (D1–D16):</w:t>
      </w:r>
      <w:r>
        <w:t xml:space="preserve"> </w:t>
      </w:r>
      <w:r>
        <w:rPr>
          <w:rStyle w:val="VerbatimChar"/>
        </w:rPr>
        <w:t xml:space="preserve">/how-we-enable</w:t>
      </w:r>
    </w:p>
    <w:bookmarkEnd w:id="41"/>
    <w:bookmarkStart w:id="42" w:name="b-glossary"/>
    <w:p>
      <w:pPr>
        <w:pStyle w:val="Heading3"/>
      </w:pPr>
      <w:r>
        <w:t xml:space="preserve">B. Glossary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seam</w:t>
      </w:r>
      <w:r>
        <w:t xml:space="preserve"> </w:t>
      </w:r>
      <w:r>
        <w:t xml:space="preserve">— the gap between Oracle's data of record and Microsoft's worker surface that the alliance closes.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Fabric IQ / Foundry IQ / Work IQ</w:t>
      </w:r>
      <w:r>
        <w:t xml:space="preserve"> </w:t>
      </w:r>
      <w:r>
        <w:t xml:space="preserve">— Microsoft's three IQ layers: semantic intelligence over data, agent reasoning, and personalisation through Microsoft Graph. The portal's framing.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Tier 0 / 1 / 2 / 3</w:t>
      </w:r>
      <w:r>
        <w:t xml:space="preserve"> </w:t>
      </w:r>
      <w:r>
        <w:t xml:space="preserve">— Lookup → Insight → Decision → Execution agent archetypes, corresponding to Baseline, +Fabric IQ, +Foundry IQ, +Work IQ.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P1 / P2 / P3</w:t>
      </w:r>
      <w:r>
        <w:t xml:space="preserve"> </w:t>
      </w:r>
      <w:r>
        <w:t xml:space="preserve">— Oracle → OneLake mirror; Foundry agents in Copilot via Agent 365 + A2A; Oracle-native agents via MCP.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Ontology Bridge</w:t>
      </w:r>
      <w:r>
        <w:t xml:space="preserve"> </w:t>
      </w:r>
      <w:r>
        <w:t xml:space="preserve">— accelerator that maps Oracle's business model into Fabric's semantic layer.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Governance Bridge</w:t>
      </w:r>
      <w:r>
        <w:t xml:space="preserve"> </w:t>
      </w:r>
      <w:r>
        <w:t xml:space="preserve">— accelerator that flows policy + lineage between Oracle Data Safe and Microsoft Purview.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A2A</w:t>
      </w:r>
      <w:r>
        <w:t xml:space="preserve"> </w:t>
      </w:r>
      <w:r>
        <w:t xml:space="preserve">— Agent-to-Agent protocol for multi-agent flows.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MCP</w:t>
      </w:r>
      <w:r>
        <w:t xml:space="preserve"> </w:t>
      </w:r>
      <w:r>
        <w:t xml:space="preserve">— Model Context Protocol for tool / agent participation.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2026-05-01T17:07:19Z</dcterms:created>
  <dcterms:modified xsi:type="dcterms:W3CDTF">2026-05-01T17:07:19Z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