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32"/>
          <w:szCs w:val="32"/>
        </w:rPr>
        <w:t xml:space="preserve">CONTENUS TEXTUELS – Mystère à Baker Street</w:t>
      </w:r>
    </w:p>
    <w:p>
      <w:pPr>
        <w:spacing w:after="120"/>
      </w:pPr>
      <w:r>
        <w:rPr>
          <w:rFonts w:ascii="Arial" w:cs="Arial" w:eastAsia="Arial" w:hAnsi="Arial"/>
          <w:i/>
          <w:iCs/>
          <w:sz w:val="20"/>
          <w:szCs w:val="20"/>
        </w:rPr>
        <w:t xml:space="preserve">Tous les textes prêts à maquetter, document par document. Les lignes grises « → Maquette » sont des consignes pour le graphiste, à ne pas imprimer sur les supports joueurs. Les codes en jeu : cryptex MORAN – boîte à secret 101 – malle 286.</w:t>
      </w:r>
    </w:p>
    <w:p>
      <w:pPr>
        <w:pBdr>
          <w:bottom w:val="single" w:color="999999" w:sz="6" w:space="4"/>
        </w:pBdr>
        <w:spacing w:after="160" w:before="300"/>
      </w:pPr>
      <w:r>
        <w:rPr>
          <w:rFonts w:ascii="Arial" w:cs="Arial" w:eastAsia="Arial" w:hAnsi="Arial"/>
          <w:b/>
          <w:bCs/>
          <w:sz w:val="26"/>
          <w:szCs w:val="26"/>
        </w:rPr>
        <w:t xml:space="preserve">1. Les 5 cartes suspects</w:t>
      </w:r>
    </w:p>
    <w:p>
      <w:pPr>
        <w:spacing w:after="160"/>
      </w:pPr>
      <w:r>
        <w:rPr>
          <w:rFonts w:ascii="Arial" w:cs="Arial" w:eastAsia="Arial" w:hAnsi="Arial"/>
          <w:i/>
          <w:iCs/>
          <w:color w:val="7F7F7F"/>
          <w:sz w:val="18"/>
          <w:szCs w:val="18"/>
        </w:rPr>
        <w:t xml:space="preserve">→ Maquette : format A6, recto : nom + portrait + signalement ; verso : alibi. Style fiche de police victorienne, tampon « SCOTLAND YARD ».</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900"/>
        <w:gridCol w:w="3740"/>
      </w:tblGrid>
      <w:tr>
        <w:tc>
          <w:tcPr>
            <w:tcW w:type="dxa" w:w="1700"/>
            <w:shd w:fill="D9E1F2" w:val="clear"/>
            <w:tcMar>
              <w:top w:type="dxa" w:w="60"/>
              <w:left w:type="dxa" w:w="100"/>
              <w:bottom w:type="dxa" w:w="60"/>
              <w:right w:type="dxa" w:w="100"/>
            </w:tcMar>
          </w:tcPr>
          <w:p>
            <w:pPr>
              <w:spacing w:after="0"/>
            </w:pPr>
            <w:r>
              <w:rPr>
                <w:rFonts w:ascii="Arial" w:cs="Arial" w:eastAsia="Arial" w:hAnsi="Arial"/>
                <w:b/>
                <w:bCs/>
                <w:sz w:val="20"/>
                <w:szCs w:val="20"/>
              </w:rPr>
              <w:t xml:space="preserve">Nom</w:t>
            </w:r>
          </w:p>
        </w:tc>
        <w:tc>
          <w:tcPr>
            <w:tcW w:type="dxa" w:w="1300"/>
            <w:shd w:fill="D9E1F2" w:val="clear"/>
            <w:tcMar>
              <w:top w:type="dxa" w:w="60"/>
              <w:left w:type="dxa" w:w="100"/>
              <w:bottom w:type="dxa" w:w="60"/>
              <w:right w:type="dxa" w:w="100"/>
            </w:tcMar>
          </w:tcPr>
          <w:p>
            <w:pPr>
              <w:spacing w:after="0"/>
            </w:pPr>
            <w:r>
              <w:rPr>
                <w:rFonts w:ascii="Arial" w:cs="Arial" w:eastAsia="Arial" w:hAnsi="Arial"/>
                <w:b/>
                <w:bCs/>
                <w:sz w:val="20"/>
                <w:szCs w:val="20"/>
              </w:rPr>
              <w:t xml:space="preserve">Âge / profession</w:t>
            </w:r>
          </w:p>
        </w:tc>
        <w:tc>
          <w:tcPr>
            <w:tcW w:type="dxa" w:w="2900"/>
            <w:shd w:fill="D9E1F2" w:val="clear"/>
            <w:tcMar>
              <w:top w:type="dxa" w:w="60"/>
              <w:left w:type="dxa" w:w="100"/>
              <w:bottom w:type="dxa" w:w="60"/>
              <w:right w:type="dxa" w:w="100"/>
            </w:tcMar>
          </w:tcPr>
          <w:p>
            <w:pPr>
              <w:spacing w:after="0"/>
            </w:pPr>
            <w:r>
              <w:rPr>
                <w:rFonts w:ascii="Arial" w:cs="Arial" w:eastAsia="Arial" w:hAnsi="Arial"/>
                <w:b/>
                <w:bCs/>
                <w:sz w:val="20"/>
                <w:szCs w:val="20"/>
              </w:rPr>
              <w:t xml:space="preserve">Signalement (vêtement)</w:t>
            </w:r>
          </w:p>
        </w:tc>
        <w:tc>
          <w:tcPr>
            <w:tcW w:type="dxa" w:w="3740"/>
            <w:shd w:fill="D9E1F2" w:val="clear"/>
            <w:tcMar>
              <w:top w:type="dxa" w:w="60"/>
              <w:left w:type="dxa" w:w="100"/>
              <w:bottom w:type="dxa" w:w="60"/>
              <w:right w:type="dxa" w:w="100"/>
            </w:tcMar>
          </w:tcPr>
          <w:p>
            <w:pPr>
              <w:spacing w:after="0"/>
            </w:pPr>
            <w:r>
              <w:rPr>
                <w:rFonts w:ascii="Arial" w:cs="Arial" w:eastAsia="Arial" w:hAnsi="Arial"/>
                <w:b/>
                <w:bCs/>
                <w:sz w:val="20"/>
                <w:szCs w:val="20"/>
              </w:rPr>
              <w:t xml:space="preserve">Alibi (verso)</w:t>
            </w:r>
          </w:p>
        </w:tc>
      </w:tr>
      <w:tr>
        <w:tc>
          <w:tcPr>
            <w:tcW w:type="dxa" w:w="1700"/>
            <w:tcMar>
              <w:top w:type="dxa" w:w="60"/>
              <w:left w:type="dxa" w:w="100"/>
              <w:bottom w:type="dxa" w:w="60"/>
              <w:right w:type="dxa" w:w="100"/>
            </w:tcMar>
          </w:tcPr>
          <w:p>
            <w:pPr>
              <w:spacing w:after="0"/>
            </w:pPr>
            <w:r>
              <w:rPr>
                <w:rFonts w:ascii="Arial" w:cs="Arial" w:eastAsia="Arial" w:hAnsi="Arial"/>
                <w:sz w:val="20"/>
                <w:szCs w:val="20"/>
              </w:rPr>
              <w:t xml:space="preserve">Colonel Sebastian MORAN</w:t>
            </w:r>
          </w:p>
        </w:tc>
        <w:tc>
          <w:tcPr>
            <w:tcW w:type="dxa" w:w="1300"/>
            <w:tcMar>
              <w:top w:type="dxa" w:w="60"/>
              <w:left w:type="dxa" w:w="100"/>
              <w:bottom w:type="dxa" w:w="60"/>
              <w:right w:type="dxa" w:w="100"/>
            </w:tcMar>
          </w:tcPr>
          <w:p>
            <w:pPr>
              <w:spacing w:after="0"/>
            </w:pPr>
            <w:r>
              <w:rPr>
                <w:rFonts w:ascii="Arial" w:cs="Arial" w:eastAsia="Arial" w:hAnsi="Arial"/>
                <w:sz w:val="20"/>
                <w:szCs w:val="20"/>
              </w:rPr>
              <w:t xml:space="preserve">54 ans, ancien tireur d'élite de l'armée des Indes</w:t>
            </w:r>
          </w:p>
        </w:tc>
        <w:tc>
          <w:tcPr>
            <w:tcW w:type="dxa" w:w="2900"/>
            <w:tcMar>
              <w:top w:type="dxa" w:w="60"/>
              <w:left w:type="dxa" w:w="100"/>
              <w:bottom w:type="dxa" w:w="60"/>
              <w:right w:type="dxa" w:w="100"/>
            </w:tcMar>
          </w:tcPr>
          <w:p>
            <w:pPr>
              <w:spacing w:after="0"/>
            </w:pPr>
            <w:r>
              <w:rPr>
                <w:rFonts w:ascii="Arial" w:cs="Arial" w:eastAsia="Arial" w:hAnsi="Arial"/>
                <w:sz w:val="20"/>
                <w:szCs w:val="20"/>
              </w:rPr>
              <w:t xml:space="preserve">Long manteau de TWEED BRUN-ROUX à col de velours, favoris gris, regard perçant</w:t>
            </w:r>
          </w:p>
        </w:tc>
        <w:tc>
          <w:tcPr>
            <w:tcW w:type="dxa" w:w="3740"/>
            <w:tcMar>
              <w:top w:type="dxa" w:w="60"/>
              <w:left w:type="dxa" w:w="100"/>
              <w:bottom w:type="dxa" w:w="60"/>
              <w:right w:type="dxa" w:w="100"/>
            </w:tcMar>
          </w:tcPr>
          <w:p>
            <w:pPr>
              <w:spacing w:after="0"/>
            </w:pPr>
            <w:r>
              <w:rPr>
                <w:rFonts w:ascii="Arial" w:cs="Arial" w:eastAsia="Arial" w:hAnsi="Arial"/>
                <w:sz w:val="20"/>
                <w:szCs w:val="20"/>
              </w:rPr>
              <w:t xml:space="preserve">« Je passais la soirée au club de tir de Pall Mall. Seul au stand, comme à mon habitude. Personne ne m'y a vu, mais un gentleman n'a pas à se justifier. » (INVÉRIFIABLE)</w:t>
            </w:r>
          </w:p>
        </w:tc>
      </w:tr>
      <w:tr>
        <w:tc>
          <w:tcPr>
            <w:tcW w:type="dxa" w:w="1700"/>
            <w:tcMar>
              <w:top w:type="dxa" w:w="60"/>
              <w:left w:type="dxa" w:w="100"/>
              <w:bottom w:type="dxa" w:w="60"/>
              <w:right w:type="dxa" w:w="100"/>
            </w:tcMar>
          </w:tcPr>
          <w:p>
            <w:pPr>
              <w:spacing w:after="0"/>
            </w:pPr>
            <w:r>
              <w:rPr>
                <w:rFonts w:ascii="Arial" w:cs="Arial" w:eastAsia="Arial" w:hAnsi="Arial"/>
                <w:sz w:val="20"/>
                <w:szCs w:val="20"/>
              </w:rPr>
              <w:t xml:space="preserve">Irene ADLER</w:t>
            </w:r>
          </w:p>
        </w:tc>
        <w:tc>
          <w:tcPr>
            <w:tcW w:type="dxa" w:w="1300"/>
            <w:tcMar>
              <w:top w:type="dxa" w:w="60"/>
              <w:left w:type="dxa" w:w="100"/>
              <w:bottom w:type="dxa" w:w="60"/>
              <w:right w:type="dxa" w:w="100"/>
            </w:tcMar>
          </w:tcPr>
          <w:p>
            <w:pPr>
              <w:spacing w:after="0"/>
            </w:pPr>
            <w:r>
              <w:rPr>
                <w:rFonts w:ascii="Arial" w:cs="Arial" w:eastAsia="Arial" w:hAnsi="Arial"/>
                <w:sz w:val="20"/>
                <w:szCs w:val="20"/>
              </w:rPr>
              <w:t xml:space="preserve">32 ans, cantatrice</w:t>
            </w:r>
          </w:p>
        </w:tc>
        <w:tc>
          <w:tcPr>
            <w:tcW w:type="dxa" w:w="2900"/>
            <w:tcMar>
              <w:top w:type="dxa" w:w="60"/>
              <w:left w:type="dxa" w:w="100"/>
              <w:bottom w:type="dxa" w:w="60"/>
              <w:right w:type="dxa" w:w="100"/>
            </w:tcMar>
          </w:tcPr>
          <w:p>
            <w:pPr>
              <w:spacing w:after="0"/>
            </w:pPr>
            <w:r>
              <w:rPr>
                <w:rFonts w:ascii="Arial" w:cs="Arial" w:eastAsia="Arial" w:hAnsi="Arial"/>
                <w:sz w:val="20"/>
                <w:szCs w:val="20"/>
              </w:rPr>
              <w:t xml:space="preserve">Robe de SOIE NOIRE, longs gants d'opéra, voilette</w:t>
            </w:r>
          </w:p>
        </w:tc>
        <w:tc>
          <w:tcPr>
            <w:tcW w:type="dxa" w:w="3740"/>
            <w:tcMar>
              <w:top w:type="dxa" w:w="60"/>
              <w:left w:type="dxa" w:w="100"/>
              <w:bottom w:type="dxa" w:w="60"/>
              <w:right w:type="dxa" w:w="100"/>
            </w:tcMar>
          </w:tcPr>
          <w:p>
            <w:pPr>
              <w:spacing w:after="0"/>
            </w:pPr>
            <w:r>
              <w:rPr>
                <w:rFonts w:ascii="Arial" w:cs="Arial" w:eastAsia="Arial" w:hAnsi="Arial"/>
                <w:sz w:val="20"/>
                <w:szCs w:val="20"/>
              </w:rPr>
              <w:t xml:space="preserve">« Je répétais seule dans ma loge jusqu'à minuit. Ma voix porte loin, mais pas jusqu'à Baker Street, messieurs. » (INVÉRIFIABLE)</w:t>
            </w:r>
          </w:p>
        </w:tc>
      </w:tr>
      <w:tr>
        <w:tc>
          <w:tcPr>
            <w:tcW w:type="dxa" w:w="1700"/>
            <w:tcMar>
              <w:top w:type="dxa" w:w="60"/>
              <w:left w:type="dxa" w:w="100"/>
              <w:bottom w:type="dxa" w:w="60"/>
              <w:right w:type="dxa" w:w="100"/>
            </w:tcMar>
          </w:tcPr>
          <w:p>
            <w:pPr>
              <w:spacing w:after="0"/>
            </w:pPr>
            <w:r>
              <w:rPr>
                <w:rFonts w:ascii="Arial" w:cs="Arial" w:eastAsia="Arial" w:hAnsi="Arial"/>
                <w:sz w:val="20"/>
                <w:szCs w:val="20"/>
              </w:rPr>
              <w:t xml:space="preserve">Jack HAYES</w:t>
            </w:r>
          </w:p>
        </w:tc>
        <w:tc>
          <w:tcPr>
            <w:tcW w:type="dxa" w:w="1300"/>
            <w:tcMar>
              <w:top w:type="dxa" w:w="60"/>
              <w:left w:type="dxa" w:w="100"/>
              <w:bottom w:type="dxa" w:w="60"/>
              <w:right w:type="dxa" w:w="100"/>
            </w:tcMar>
          </w:tcPr>
          <w:p>
            <w:pPr>
              <w:spacing w:after="0"/>
            </w:pPr>
            <w:r>
              <w:rPr>
                <w:rFonts w:ascii="Arial" w:cs="Arial" w:eastAsia="Arial" w:hAnsi="Arial"/>
                <w:sz w:val="20"/>
                <w:szCs w:val="20"/>
              </w:rPr>
              <w:t xml:space="preserve">41 ans, cocher de fiacre</w:t>
            </w:r>
          </w:p>
        </w:tc>
        <w:tc>
          <w:tcPr>
            <w:tcW w:type="dxa" w:w="2900"/>
            <w:tcMar>
              <w:top w:type="dxa" w:w="60"/>
              <w:left w:type="dxa" w:w="100"/>
              <w:bottom w:type="dxa" w:w="60"/>
              <w:right w:type="dxa" w:w="100"/>
            </w:tcMar>
          </w:tcPr>
          <w:p>
            <w:pPr>
              <w:spacing w:after="0"/>
            </w:pPr>
            <w:r>
              <w:rPr>
                <w:rFonts w:ascii="Arial" w:cs="Arial" w:eastAsia="Arial" w:hAnsi="Arial"/>
                <w:sz w:val="20"/>
                <w:szCs w:val="20"/>
              </w:rPr>
              <w:t xml:space="preserve">Manteau de LAINE GRISE élimé, foulard rouge, mains calleuses</w:t>
            </w:r>
          </w:p>
        </w:tc>
        <w:tc>
          <w:tcPr>
            <w:tcW w:type="dxa" w:w="3740"/>
            <w:tcMar>
              <w:top w:type="dxa" w:w="60"/>
              <w:left w:type="dxa" w:w="100"/>
              <w:bottom w:type="dxa" w:w="60"/>
              <w:right w:type="dxa" w:w="100"/>
            </w:tcMar>
          </w:tcPr>
          <w:p>
            <w:pPr>
              <w:spacing w:after="0"/>
            </w:pPr>
            <w:r>
              <w:rPr>
                <w:rFonts w:ascii="Arial" w:cs="Arial" w:eastAsia="Arial" w:hAnsi="Arial"/>
                <w:sz w:val="20"/>
                <w:szCs w:val="20"/>
              </w:rPr>
              <w:t xml:space="preserve">« Je nettoyais mon fiacre à l'écurie de Marylebone. Les chevaux ne témoignent pas, hélas. » (INVÉRIFIABLE)</w:t>
            </w:r>
          </w:p>
        </w:tc>
      </w:tr>
      <w:tr>
        <w:tc>
          <w:tcPr>
            <w:tcW w:type="dxa" w:w="1700"/>
            <w:tcMar>
              <w:top w:type="dxa" w:w="60"/>
              <w:left w:type="dxa" w:w="100"/>
              <w:bottom w:type="dxa" w:w="60"/>
              <w:right w:type="dxa" w:w="100"/>
            </w:tcMar>
          </w:tcPr>
          <w:p>
            <w:pPr>
              <w:spacing w:after="0"/>
            </w:pPr>
            <w:r>
              <w:rPr>
                <w:rFonts w:ascii="Arial" w:cs="Arial" w:eastAsia="Arial" w:hAnsi="Arial"/>
                <w:sz w:val="20"/>
                <w:szCs w:val="20"/>
              </w:rPr>
              <w:t xml:space="preserve">Inspecteur Tobias GREGSON</w:t>
            </w:r>
          </w:p>
        </w:tc>
        <w:tc>
          <w:tcPr>
            <w:tcW w:type="dxa" w:w="1300"/>
            <w:tcMar>
              <w:top w:type="dxa" w:w="60"/>
              <w:left w:type="dxa" w:w="100"/>
              <w:bottom w:type="dxa" w:w="60"/>
              <w:right w:type="dxa" w:w="100"/>
            </w:tcMar>
          </w:tcPr>
          <w:p>
            <w:pPr>
              <w:spacing w:after="0"/>
            </w:pPr>
            <w:r>
              <w:rPr>
                <w:rFonts w:ascii="Arial" w:cs="Arial" w:eastAsia="Arial" w:hAnsi="Arial"/>
                <w:sz w:val="20"/>
                <w:szCs w:val="20"/>
              </w:rPr>
              <w:t xml:space="preserve">47 ans, inspecteur de Scotland Yard</w:t>
            </w:r>
          </w:p>
        </w:tc>
        <w:tc>
          <w:tcPr>
            <w:tcW w:type="dxa" w:w="2900"/>
            <w:tcMar>
              <w:top w:type="dxa" w:w="60"/>
              <w:left w:type="dxa" w:w="100"/>
              <w:bottom w:type="dxa" w:w="60"/>
              <w:right w:type="dxa" w:w="100"/>
            </w:tcMar>
          </w:tcPr>
          <w:p>
            <w:pPr>
              <w:spacing w:after="0"/>
            </w:pPr>
            <w:r>
              <w:rPr>
                <w:rFonts w:ascii="Arial" w:cs="Arial" w:eastAsia="Arial" w:hAnsi="Arial"/>
                <w:sz w:val="20"/>
                <w:szCs w:val="20"/>
              </w:rPr>
              <w:t xml:space="preserve">Redingote bleu nuit, insigne du Yard</w:t>
            </w:r>
          </w:p>
        </w:tc>
        <w:tc>
          <w:tcPr>
            <w:tcW w:type="dxa" w:w="3740"/>
            <w:tcMar>
              <w:top w:type="dxa" w:w="60"/>
              <w:left w:type="dxa" w:w="100"/>
              <w:bottom w:type="dxa" w:w="60"/>
              <w:right w:type="dxa" w:w="100"/>
            </w:tcMar>
          </w:tcPr>
          <w:p>
            <w:pPr>
              <w:spacing w:after="0"/>
            </w:pPr>
            <w:r>
              <w:rPr>
                <w:rFonts w:ascii="Arial" w:cs="Arial" w:eastAsia="Arial" w:hAnsi="Arial"/>
                <w:sz w:val="20"/>
                <w:szCs w:val="20"/>
              </w:rPr>
              <w:t xml:space="preserve">« De garde au Yard de huit heures à minuit. Le registre de service et trois sergents en témoignent. » (VÉRIFIÉ — ne peut pas avoir été au Lyceum à 21h30)</w:t>
            </w:r>
          </w:p>
        </w:tc>
      </w:tr>
      <w:tr>
        <w:tc>
          <w:tcPr>
            <w:tcW w:type="dxa" w:w="1700"/>
            <w:tcMar>
              <w:top w:type="dxa" w:w="60"/>
              <w:left w:type="dxa" w:w="100"/>
              <w:bottom w:type="dxa" w:w="60"/>
              <w:right w:type="dxa" w:w="100"/>
            </w:tcMar>
          </w:tcPr>
          <w:p>
            <w:pPr>
              <w:spacing w:after="0"/>
            </w:pPr>
            <w:r>
              <w:rPr>
                <w:rFonts w:ascii="Arial" w:cs="Arial" w:eastAsia="Arial" w:hAnsi="Arial"/>
                <w:sz w:val="20"/>
                <w:szCs w:val="20"/>
              </w:rPr>
              <w:t xml:space="preserve">James WINDIBANK</w:t>
            </w:r>
          </w:p>
        </w:tc>
        <w:tc>
          <w:tcPr>
            <w:tcW w:type="dxa" w:w="1300"/>
            <w:tcMar>
              <w:top w:type="dxa" w:w="60"/>
              <w:left w:type="dxa" w:w="100"/>
              <w:bottom w:type="dxa" w:w="60"/>
              <w:right w:type="dxa" w:w="100"/>
            </w:tcMar>
          </w:tcPr>
          <w:p>
            <w:pPr>
              <w:spacing w:after="0"/>
            </w:pPr>
            <w:r>
              <w:rPr>
                <w:rFonts w:ascii="Arial" w:cs="Arial" w:eastAsia="Arial" w:hAnsi="Arial"/>
                <w:sz w:val="20"/>
                <w:szCs w:val="20"/>
              </w:rPr>
              <w:t xml:space="preserve">38 ans, courtier en vins</w:t>
            </w:r>
          </w:p>
        </w:tc>
        <w:tc>
          <w:tcPr>
            <w:tcW w:type="dxa" w:w="2900"/>
            <w:tcMar>
              <w:top w:type="dxa" w:w="60"/>
              <w:left w:type="dxa" w:w="100"/>
              <w:bottom w:type="dxa" w:w="60"/>
              <w:right w:type="dxa" w:w="100"/>
            </w:tcMar>
          </w:tcPr>
          <w:p>
            <w:pPr>
              <w:spacing w:after="0"/>
            </w:pPr>
            <w:r>
              <w:rPr>
                <w:rFonts w:ascii="Arial" w:cs="Arial" w:eastAsia="Arial" w:hAnsi="Arial"/>
                <w:sz w:val="20"/>
                <w:szCs w:val="20"/>
              </w:rPr>
              <w:t xml:space="preserve">Costume de flanelle beige, lorgnons teintés</w:t>
            </w:r>
          </w:p>
        </w:tc>
        <w:tc>
          <w:tcPr>
            <w:tcW w:type="dxa" w:w="3740"/>
            <w:tcMar>
              <w:top w:type="dxa" w:w="60"/>
              <w:left w:type="dxa" w:w="100"/>
              <w:bottom w:type="dxa" w:w="60"/>
              <w:right w:type="dxa" w:w="100"/>
            </w:tcMar>
          </w:tcPr>
          <w:p>
            <w:pPr>
              <w:spacing w:after="0"/>
            </w:pPr>
            <w:r>
              <w:rPr>
                <w:rFonts w:ascii="Arial" w:cs="Arial" w:eastAsia="Arial" w:hAnsi="Arial"/>
                <w:sz w:val="20"/>
                <w:szCs w:val="20"/>
              </w:rPr>
              <w:t xml:space="preserve">« Je dînais chez ma belle-mère à Camberwell. Toute la famille l'attestera, y compris la belle-mère, ce qui n'est pas rien. » (VÉRIFIÉ — ne peut pas avoir été au Lyceum à 21h30)</w:t>
            </w:r>
          </w:p>
        </w:tc>
      </w:tr>
    </w:tbl>
    <w:p>
      <w:pPr>
        <w:spacing w:after="120"/>
      </w:pPr>
      <w:r>
        <w:rPr>
          <w:rFonts w:ascii="Arial" w:cs="Arial" w:eastAsia="Arial" w:hAnsi="Arial"/>
          <w:i/>
          <w:iCs/>
          <w:sz w:val="20"/>
          <w:szCs w:val="20"/>
        </w:rPr>
        <w:t xml:space="preserve">Logique de déduction : le ticket du Lyceum (21h30) trouvé près du corps appartient au coupable. Gregson et Windibank, dont l'alibi est vérifié par des témoins ailleurs à cette heure, ne peuvent pas l'avoir laissé : éliminés. Restent Moran, Adler et Hayes.</w:t>
      </w:r>
    </w:p>
    <w:p>
      <w:pPr>
        <w:pBdr>
          <w:bottom w:val="single" w:color="999999" w:sz="6" w:space="4"/>
        </w:pBdr>
        <w:spacing w:after="160" w:before="300"/>
      </w:pPr>
      <w:r>
        <w:rPr>
          <w:rFonts w:ascii="Arial" w:cs="Arial" w:eastAsia="Arial" w:hAnsi="Arial"/>
          <w:b/>
          <w:bCs/>
          <w:sz w:val="26"/>
          <w:szCs w:val="26"/>
        </w:rPr>
        <w:t xml:space="preserve">2. Le registre d'empreintes de Scotland Yard</w:t>
      </w:r>
    </w:p>
    <w:p>
      <w:pPr>
        <w:spacing w:after="160"/>
      </w:pPr>
      <w:r>
        <w:rPr>
          <w:rFonts w:ascii="Arial" w:cs="Arial" w:eastAsia="Arial" w:hAnsi="Arial"/>
          <w:i/>
          <w:iCs/>
          <w:color w:val="7F7F7F"/>
          <w:sz w:val="18"/>
          <w:szCs w:val="18"/>
        </w:rPr>
        <w:t xml:space="preserve">→ Maquette : livret A5, une fiche par suspect avec le dessin du motif. Le graphiste dessine les motifs selon les descriptions ci-dessous ; seuls Moran et Hayes doivent être compatibles avec l'empreinte relevée.</w:t>
      </w:r>
    </w:p>
    <w:p>
      <w:pPr>
        <w:spacing w:after="120" w:before="200"/>
      </w:pPr>
      <w:r>
        <w:rPr>
          <w:rFonts w:ascii="Arial" w:cs="Arial" w:eastAsia="Arial" w:hAnsi="Arial"/>
          <w:b/>
          <w:bCs/>
          <w:sz w:val="22"/>
          <w:szCs w:val="22"/>
        </w:rPr>
        <w:t xml:space="preserve">Page de garde</w:t>
      </w:r>
    </w:p>
    <w:p>
      <w:pPr>
        <w:spacing w:after="120"/>
        <w:ind w:left="400"/>
      </w:pPr>
      <w:r>
        <w:rPr>
          <w:rFonts w:ascii="Arial" w:cs="Arial" w:eastAsia="Arial" w:hAnsi="Arial"/>
          <w:i/>
          <w:iCs/>
          <w:sz w:val="20"/>
          <w:szCs w:val="20"/>
        </w:rPr>
        <w:t xml:space="preserve">SCOTLAND YARD – BUREAU D'IDENTIFICATION JUDICIAIRE – Registre dactyloscopique – Extraits certifiés conformes – Ne pas divulguer.</w:t>
      </w:r>
    </w:p>
    <w:p>
      <w:pPr>
        <w:spacing w:after="120" w:before="200"/>
      </w:pPr>
      <w:r>
        <w:rPr>
          <w:rFonts w:ascii="Arial" w:cs="Arial" w:eastAsia="Arial" w:hAnsi="Arial"/>
          <w:b/>
          <w:bCs/>
          <w:sz w:val="22"/>
          <w:szCs w:val="22"/>
        </w:rPr>
        <w:t xml:space="preserve">Fiches (motif de l'index droit)</w:t>
      </w:r>
    </w:p>
    <w:p>
      <w:pPr>
        <w:pStyle w:val="ListParagraph"/>
        <w:numPr>
          <w:ilvl w:val="0"/>
          <w:numId w:val="2"/>
        </w:numPr>
        <w:spacing w:after="80"/>
      </w:pPr>
      <w:r>
        <w:rPr>
          <w:rFonts w:ascii="Arial" w:cs="Arial" w:eastAsia="Arial" w:hAnsi="Arial"/>
          <w:b/>
          <w:bCs/>
          <w:sz w:val="20"/>
          <w:szCs w:val="20"/>
        </w:rPr>
        <w:t xml:space="preserve">MORAN, Sebastian</w:t>
      </w:r>
      <w:r>
        <w:rPr>
          <w:rFonts w:ascii="Arial" w:cs="Arial" w:eastAsia="Arial" w:hAnsi="Arial"/>
          <w:sz w:val="20"/>
          <w:szCs w:val="20"/>
        </w:rPr>
        <w:t xml:space="preserve"> — verticille à double boucle, delta à droite, crêtes serrées. (</w:t>
      </w:r>
      <w:r>
        <w:rPr>
          <w:rFonts w:ascii="Arial" w:cs="Arial" w:eastAsia="Arial" w:hAnsi="Arial"/>
          <w:i/>
          <w:iCs/>
          <w:sz w:val="20"/>
          <w:szCs w:val="20"/>
        </w:rPr>
        <w:t xml:space="preserve">COMPATIBLE avec le relevé</w:t>
      </w:r>
      <w:r>
        <w:rPr>
          <w:rFonts w:ascii="Arial" w:cs="Arial" w:eastAsia="Arial" w:hAnsi="Arial"/>
          <w:sz w:val="20"/>
          <w:szCs w:val="20"/>
        </w:rPr>
        <w:t xml:space="preserve">)</w:t>
      </w:r>
    </w:p>
    <w:p>
      <w:pPr>
        <w:pStyle w:val="ListParagraph"/>
        <w:numPr>
          <w:ilvl w:val="0"/>
          <w:numId w:val="2"/>
        </w:numPr>
        <w:spacing w:after="80"/>
      </w:pPr>
      <w:r>
        <w:rPr>
          <w:rFonts w:ascii="Arial" w:cs="Arial" w:eastAsia="Arial" w:hAnsi="Arial"/>
          <w:b/>
          <w:bCs/>
          <w:sz w:val="20"/>
          <w:szCs w:val="20"/>
        </w:rPr>
        <w:t xml:space="preserve">HAYES, Jack</w:t>
      </w:r>
      <w:r>
        <w:rPr>
          <w:rFonts w:ascii="Arial" w:cs="Arial" w:eastAsia="Arial" w:hAnsi="Arial"/>
          <w:sz w:val="20"/>
          <w:szCs w:val="20"/>
        </w:rPr>
        <w:t xml:space="preserve"> — verticille à double boucle, delta à droite, crêtes légèrement plus espacées. (</w:t>
      </w:r>
      <w:r>
        <w:rPr>
          <w:rFonts w:ascii="Arial" w:cs="Arial" w:eastAsia="Arial" w:hAnsi="Arial"/>
          <w:i/>
          <w:iCs/>
          <w:sz w:val="20"/>
          <w:szCs w:val="20"/>
        </w:rPr>
        <w:t xml:space="preserve">COMPATIBLE — le relevé fragmentaire ne permet pas de le distinguer de Moran</w:t>
      </w:r>
      <w:r>
        <w:rPr>
          <w:rFonts w:ascii="Arial" w:cs="Arial" w:eastAsia="Arial" w:hAnsi="Arial"/>
          <w:sz w:val="20"/>
          <w:szCs w:val="20"/>
        </w:rPr>
        <w:t xml:space="preserve">)</w:t>
      </w:r>
    </w:p>
    <w:p>
      <w:pPr>
        <w:pStyle w:val="ListParagraph"/>
        <w:numPr>
          <w:ilvl w:val="0"/>
          <w:numId w:val="2"/>
        </w:numPr>
        <w:spacing w:after="80"/>
      </w:pPr>
      <w:r>
        <w:rPr>
          <w:rFonts w:ascii="Arial" w:cs="Arial" w:eastAsia="Arial" w:hAnsi="Arial"/>
          <w:b/>
          <w:bCs/>
          <w:sz w:val="20"/>
          <w:szCs w:val="20"/>
        </w:rPr>
        <w:t xml:space="preserve">ADLER, Irene</w:t>
      </w:r>
      <w:r>
        <w:rPr>
          <w:rFonts w:ascii="Arial" w:cs="Arial" w:eastAsia="Arial" w:hAnsi="Arial"/>
          <w:sz w:val="20"/>
          <w:szCs w:val="20"/>
        </w:rPr>
        <w:t xml:space="preserve"> — arc simple, sans delta. (</w:t>
      </w:r>
      <w:r>
        <w:rPr>
          <w:rFonts w:ascii="Arial" w:cs="Arial" w:eastAsia="Arial" w:hAnsi="Arial"/>
          <w:i/>
          <w:iCs/>
          <w:sz w:val="20"/>
          <w:szCs w:val="20"/>
        </w:rPr>
        <w:t xml:space="preserve">INCOMPATIBLE</w:t>
      </w:r>
      <w:r>
        <w:rPr>
          <w:rFonts w:ascii="Arial" w:cs="Arial" w:eastAsia="Arial" w:hAnsi="Arial"/>
          <w:sz w:val="20"/>
          <w:szCs w:val="20"/>
        </w:rPr>
        <w:t xml:space="preserve">)</w:t>
      </w:r>
    </w:p>
    <w:p>
      <w:pPr>
        <w:pStyle w:val="ListParagraph"/>
        <w:numPr>
          <w:ilvl w:val="0"/>
          <w:numId w:val="2"/>
        </w:numPr>
        <w:spacing w:after="80"/>
      </w:pPr>
      <w:r>
        <w:rPr>
          <w:rFonts w:ascii="Arial" w:cs="Arial" w:eastAsia="Arial" w:hAnsi="Arial"/>
          <w:b/>
          <w:bCs/>
          <w:sz w:val="20"/>
          <w:szCs w:val="20"/>
        </w:rPr>
        <w:t xml:space="preserve">GREGSON, Tobias</w:t>
      </w:r>
      <w:r>
        <w:rPr>
          <w:rFonts w:ascii="Arial" w:cs="Arial" w:eastAsia="Arial" w:hAnsi="Arial"/>
          <w:sz w:val="20"/>
          <w:szCs w:val="20"/>
        </w:rPr>
        <w:t xml:space="preserve"> — boucle radiale orientée à gauche. (</w:t>
      </w:r>
      <w:r>
        <w:rPr>
          <w:rFonts w:ascii="Arial" w:cs="Arial" w:eastAsia="Arial" w:hAnsi="Arial"/>
          <w:i/>
          <w:iCs/>
          <w:sz w:val="20"/>
          <w:szCs w:val="20"/>
        </w:rPr>
        <w:t xml:space="preserve">INCOMPATIBLE</w:t>
      </w:r>
      <w:r>
        <w:rPr>
          <w:rFonts w:ascii="Arial" w:cs="Arial" w:eastAsia="Arial" w:hAnsi="Arial"/>
          <w:sz w:val="20"/>
          <w:szCs w:val="20"/>
        </w:rPr>
        <w:t xml:space="preserve">)</w:t>
      </w:r>
    </w:p>
    <w:p>
      <w:pPr>
        <w:pStyle w:val="ListParagraph"/>
        <w:numPr>
          <w:ilvl w:val="0"/>
          <w:numId w:val="2"/>
        </w:numPr>
        <w:spacing w:after="80"/>
      </w:pPr>
      <w:r>
        <w:rPr>
          <w:rFonts w:ascii="Arial" w:cs="Arial" w:eastAsia="Arial" w:hAnsi="Arial"/>
          <w:b/>
          <w:bCs/>
          <w:sz w:val="20"/>
          <w:szCs w:val="20"/>
        </w:rPr>
        <w:t xml:space="preserve">WINDIBANK, James</w:t>
      </w:r>
      <w:r>
        <w:rPr>
          <w:rFonts w:ascii="Arial" w:cs="Arial" w:eastAsia="Arial" w:hAnsi="Arial"/>
          <w:sz w:val="20"/>
          <w:szCs w:val="20"/>
        </w:rPr>
        <w:t xml:space="preserve"> — arc en tente, crête centrale saillante. (</w:t>
      </w:r>
      <w:r>
        <w:rPr>
          <w:rFonts w:ascii="Arial" w:cs="Arial" w:eastAsia="Arial" w:hAnsi="Arial"/>
          <w:i/>
          <w:iCs/>
          <w:sz w:val="20"/>
          <w:szCs w:val="20"/>
        </w:rPr>
        <w:t xml:space="preserve">INCOMPATIBLE</w:t>
      </w:r>
      <w:r>
        <w:rPr>
          <w:rFonts w:ascii="Arial" w:cs="Arial" w:eastAsia="Arial" w:hAnsi="Arial"/>
          <w:sz w:val="20"/>
          <w:szCs w:val="20"/>
        </w:rPr>
        <w:t xml:space="preserve">)</w:t>
      </w:r>
    </w:p>
    <w:p>
      <w:pPr>
        <w:spacing w:after="120" w:before="200"/>
      </w:pPr>
      <w:r>
        <w:rPr>
          <w:rFonts w:ascii="Arial" w:cs="Arial" w:eastAsia="Arial" w:hAnsi="Arial"/>
          <w:b/>
          <w:bCs/>
          <w:sz w:val="22"/>
          <w:szCs w:val="22"/>
        </w:rPr>
        <w:t xml:space="preserve">L'empreinte relevée (les 3 fragments)</w:t>
      </w:r>
    </w:p>
    <w:p>
      <w:pPr>
        <w:spacing w:after="120"/>
      </w:pPr>
      <w:r>
        <w:rPr>
          <w:rFonts w:ascii="Arial" w:cs="Arial" w:eastAsia="Arial" w:hAnsi="Arial"/>
          <w:sz w:val="20"/>
          <w:szCs w:val="20"/>
        </w:rPr>
        <w:t xml:space="preserve">Motif à dessiner : verticille à double boucle, delta à droite — identique aux fiches Moran et Hayes. À découper en 3 fragments (haut / centre / bas) et à IMPRIMER EN MIROIR : le motif assemblé ne devient comparable au registre qu'une fois lu dans le miroir de poche.</w:t>
      </w:r>
    </w:p>
    <w:p>
      <w:pPr>
        <w:pBdr>
          <w:bottom w:val="single" w:color="999999" w:sz="6" w:space="4"/>
        </w:pBdr>
        <w:spacing w:after="160" w:before="300"/>
      </w:pPr>
      <w:r>
        <w:rPr>
          <w:rFonts w:ascii="Arial" w:cs="Arial" w:eastAsia="Arial" w:hAnsi="Arial"/>
          <w:b/>
          <w:bCs/>
          <w:sz w:val="26"/>
          <w:szCs w:val="26"/>
        </w:rPr>
        <w:t xml:space="preserve">3. Le ticket déchiré</w:t>
      </w:r>
    </w:p>
    <w:p>
      <w:pPr>
        <w:spacing w:after="160"/>
      </w:pPr>
      <w:r>
        <w:rPr>
          <w:rFonts w:ascii="Arial" w:cs="Arial" w:eastAsia="Arial" w:hAnsi="Arial"/>
          <w:i/>
          <w:iCs/>
          <w:color w:val="7F7F7F"/>
          <w:sz w:val="18"/>
          <w:szCs w:val="18"/>
        </w:rPr>
        <w:t xml:space="preserve">→ Maquette : ~6 x 12 cm, papier vieilli, typographie de billet de théâtre victorien. Imprimer entier puis déchirer le long de la ligne indiquée : les crochets marquent ce qui disparaît avec la moitié perdue.</w:t>
      </w:r>
    </w:p>
    <w:p>
      <w:pPr>
        <w:spacing w:after="120"/>
        <w:ind w:left="400"/>
      </w:pPr>
      <w:r>
        <w:rPr>
          <w:rFonts w:ascii="Arial" w:cs="Arial" w:eastAsia="Arial" w:hAnsi="Arial"/>
          <w:i/>
          <w:iCs/>
          <w:sz w:val="20"/>
          <w:szCs w:val="20"/>
        </w:rPr>
        <w:t xml:space="preserve">THÉÂTRE DU LYC[EUM]</w:t>
      </w:r>
    </w:p>
    <w:p>
      <w:pPr>
        <w:spacing w:after="120"/>
        <w:ind w:left="400"/>
      </w:pPr>
      <w:r>
        <w:rPr>
          <w:rFonts w:ascii="Arial" w:cs="Arial" w:eastAsia="Arial" w:hAnsi="Arial"/>
          <w:i/>
          <w:iCs/>
          <w:sz w:val="20"/>
          <w:szCs w:val="20"/>
        </w:rPr>
        <w:t xml:space="preserve">Représentation du s[oir]</w:t>
      </w:r>
    </w:p>
    <w:p>
      <w:pPr>
        <w:spacing w:after="120"/>
        <w:ind w:left="400"/>
      </w:pPr>
      <w:r>
        <w:rPr>
          <w:rFonts w:ascii="Arial" w:cs="Arial" w:eastAsia="Arial" w:hAnsi="Arial"/>
          <w:i/>
          <w:iCs/>
          <w:sz w:val="20"/>
          <w:szCs w:val="20"/>
        </w:rPr>
        <w:t xml:space="preserve">Ce jeudi — 21 h 3[0]</w:t>
      </w:r>
    </w:p>
    <w:p>
      <w:pPr>
        <w:spacing w:after="120"/>
        <w:ind w:left="400"/>
      </w:pPr>
      <w:r>
        <w:rPr>
          <w:rFonts w:ascii="Arial" w:cs="Arial" w:eastAsia="Arial" w:hAnsi="Arial"/>
          <w:i/>
          <w:iCs/>
          <w:sz w:val="20"/>
          <w:szCs w:val="20"/>
        </w:rPr>
        <w:t xml:space="preserve">Fauteuil d'orch[estre]</w:t>
      </w:r>
    </w:p>
    <w:p>
      <w:pPr>
        <w:spacing w:after="120"/>
        <w:ind w:left="400"/>
      </w:pPr>
      <w:r>
        <w:rPr>
          <w:rFonts w:ascii="Arial" w:cs="Arial" w:eastAsia="Arial" w:hAnsi="Arial"/>
          <w:i/>
          <w:iCs/>
          <w:sz w:val="20"/>
          <w:szCs w:val="20"/>
        </w:rPr>
        <w:t xml:space="preserve">Entrée : deux shil[lings]</w:t>
      </w:r>
    </w:p>
    <w:p>
      <w:pPr>
        <w:spacing w:after="120"/>
      </w:pPr>
      <w:r>
        <w:rPr>
          <w:rFonts w:ascii="Arial" w:cs="Arial" w:eastAsia="Arial" w:hAnsi="Arial"/>
          <w:i/>
          <w:iCs/>
          <w:sz w:val="20"/>
          <w:szCs w:val="20"/>
        </w:rPr>
        <w:t xml:space="preserve">La moitié conservée laisse lisibles « LYC », « 21 h 3 » et « jeudi » : assez pour situer le porteur au Lyceum à 21h30 le soir du crime.</w:t>
      </w:r>
    </w:p>
    <w:p>
      <w:pPr>
        <w:pBdr>
          <w:bottom w:val="single" w:color="999999" w:sz="6" w:space="4"/>
        </w:pBdr>
        <w:spacing w:after="160" w:before="300"/>
      </w:pPr>
      <w:r>
        <w:rPr>
          <w:rFonts w:ascii="Arial" w:cs="Arial" w:eastAsia="Arial" w:hAnsi="Arial"/>
          <w:b/>
          <w:bCs/>
          <w:sz w:val="26"/>
          <w:szCs w:val="26"/>
        </w:rPr>
        <w:t xml:space="preserve">4. L'article du Strand Magazine – version FR</w:t>
      </w:r>
    </w:p>
    <w:p>
      <w:pPr>
        <w:spacing w:after="160"/>
      </w:pPr>
      <w:r>
        <w:rPr>
          <w:rFonts w:ascii="Arial" w:cs="Arial" w:eastAsia="Arial" w:hAnsi="Arial"/>
          <w:i/>
          <w:iCs/>
          <w:color w:val="7F7F7F"/>
          <w:sz w:val="18"/>
          <w:szCs w:val="18"/>
        </w:rPr>
        <w:t xml:space="preserve">→ Maquette : A4 style page de magazine 1890 : titre, deux colonnes, lettrine. Le PASSAGE CACHÉ s'imprime en rouge très clair (10-15 % de saturation) entre les deux derniers paragraphes — invisible à l'œil nu, révélé par le filtre rouge. Tester avant tirage.</w:t>
      </w:r>
    </w:p>
    <w:p>
      <w:pPr>
        <w:spacing w:after="120" w:before="200"/>
      </w:pPr>
      <w:r>
        <w:rPr>
          <w:rFonts w:ascii="Arial" w:cs="Arial" w:eastAsia="Arial" w:hAnsi="Arial"/>
          <w:b/>
          <w:bCs/>
          <w:sz w:val="22"/>
          <w:szCs w:val="22"/>
        </w:rPr>
        <w:t xml:space="preserve">Texte visible</w:t>
      </w:r>
    </w:p>
    <w:p>
      <w:pPr>
        <w:spacing w:after="120"/>
        <w:ind w:left="400"/>
      </w:pPr>
      <w:r>
        <w:rPr>
          <w:rFonts w:ascii="Arial" w:cs="Arial" w:eastAsia="Arial" w:hAnsi="Arial"/>
          <w:i/>
          <w:iCs/>
          <w:sz w:val="20"/>
          <w:szCs w:val="20"/>
        </w:rPr>
        <w:t xml:space="preserve">LE STRAND MAGAZINE — LONDRES, CE JEUDI</w:t>
      </w:r>
    </w:p>
    <w:p>
      <w:pPr>
        <w:spacing w:after="120"/>
        <w:ind w:left="400"/>
      </w:pPr>
      <w:r>
        <w:rPr>
          <w:rFonts w:ascii="Arial" w:cs="Arial" w:eastAsia="Arial" w:hAnsi="Arial"/>
          <w:i/>
          <w:iCs/>
          <w:sz w:val="20"/>
          <w:szCs w:val="20"/>
        </w:rPr>
        <w:t xml:space="preserve">UNE VAGUE DE VOLS INQUIÈTE LE WEST END</w:t>
      </w:r>
    </w:p>
    <w:p>
      <w:pPr>
        <w:spacing w:after="120"/>
        <w:ind w:left="400"/>
      </w:pPr>
      <w:r>
        <w:rPr>
          <w:rFonts w:ascii="Arial" w:cs="Arial" w:eastAsia="Arial" w:hAnsi="Arial"/>
          <w:i/>
          <w:iCs/>
          <w:sz w:val="20"/>
          <w:szCs w:val="20"/>
        </w:rPr>
        <w:t xml:space="preserve">Depuis trois semaines, les demeures les plus respectables de la capitale sont visitées par un cambrioleur d'une audace peu commune. Bijoux, titres et pierres précieuses disparaissent sans effraction apparente, au nez des domestiques les plus vigilants. Scotland Yard, par la voix de l'inspecteur Gregson, assure que « l'étau se resserre », formule dont nos lecteurs apprécieront la constance puisqu'elle nous est servie depuis le premier jour.</w:t>
      </w:r>
    </w:p>
    <w:p>
      <w:pPr>
        <w:spacing w:after="120"/>
        <w:ind w:left="400"/>
      </w:pPr>
      <w:r>
        <w:rPr>
          <w:rFonts w:ascii="Arial" w:cs="Arial" w:eastAsia="Arial" w:hAnsi="Arial"/>
          <w:i/>
          <w:iCs/>
          <w:sz w:val="20"/>
          <w:szCs w:val="20"/>
        </w:rPr>
        <w:t xml:space="preserve">On murmure dans les clubs que la dernière prise du voleur serait d'une valeur exceptionnelle, et qu'un célèbre détective consultant de Baker Street aurait été prié de veiller sur une pierre convoitée entre toutes. Interrogé par notre rédaction, l'intéressé n'a laissé filtrer qu'un sourire et cette phrase énigmatique : « Tout est déjà écrit, encore faut-il savoir lire. »</w:t>
      </w:r>
    </w:p>
    <w:p>
      <w:pPr>
        <w:spacing w:after="120"/>
        <w:ind w:left="400"/>
      </w:pPr>
      <w:r>
        <w:rPr>
          <w:rFonts w:ascii="Arial" w:cs="Arial" w:eastAsia="Arial" w:hAnsi="Arial"/>
          <w:i/>
          <w:iCs/>
          <w:sz w:val="20"/>
          <w:szCs w:val="20"/>
        </w:rPr>
        <w:t xml:space="preserve">Nos lecteurs jugeront de la méthode. La rédaction, elle, gage que l'affaire connaîtra son dénouement avant la prochaine marée.</w:t>
      </w:r>
    </w:p>
    <w:p>
      <w:pPr>
        <w:spacing w:after="120" w:before="200"/>
      </w:pPr>
      <w:r>
        <w:rPr>
          <w:rFonts w:ascii="Arial" w:cs="Arial" w:eastAsia="Arial" w:hAnsi="Arial"/>
          <w:b/>
          <w:bCs/>
          <w:sz w:val="22"/>
          <w:szCs w:val="22"/>
        </w:rPr>
        <w:t xml:space="preserve">Passage caché (imprimé en rouge clair — les premières lettres épellent C-E-N-T-U-N)</w:t>
      </w:r>
    </w:p>
    <w:p>
      <w:pPr>
        <w:spacing w:after="120"/>
        <w:ind w:left="400"/>
      </w:pPr>
      <w:r>
        <w:rPr>
          <w:rFonts w:ascii="Arial" w:cs="Arial" w:eastAsia="Arial" w:hAnsi="Arial"/>
          <w:i/>
          <w:iCs/>
          <w:sz w:val="20"/>
          <w:szCs w:val="20"/>
        </w:rPr>
        <w:t xml:space="preserve">Certains secrets ne se confient qu'aux esprits observateurs. En toute chose, la première impression est la bonne. N'oubliez jamais que le détail précède la déduction. Tout lecteur attentif saura où chercher. Un chiffre se cache parfois dans les mots eux-mêmes. Ne comptez que sur les premières lettres.</w:t>
      </w:r>
    </w:p>
    <w:p>
      <w:pPr>
        <w:spacing w:after="120" w:before="200"/>
      </w:pPr>
      <w:r>
        <w:rPr>
          <w:rFonts w:ascii="Arial" w:cs="Arial" w:eastAsia="Arial" w:hAnsi="Arial"/>
          <w:b/>
          <w:bCs/>
          <w:sz w:val="22"/>
          <w:szCs w:val="22"/>
        </w:rPr>
        <w:t xml:space="preserve">Annotation manuscrite de Holmes en marge (note n°2)</w:t>
      </w:r>
    </w:p>
    <w:p>
      <w:pPr>
        <w:spacing w:after="120"/>
        <w:ind w:left="400"/>
      </w:pPr>
      <w:r>
        <w:rPr>
          <w:rFonts w:ascii="Arial" w:cs="Arial" w:eastAsia="Arial" w:hAnsi="Arial"/>
          <w:i/>
          <w:iCs/>
          <w:sz w:val="20"/>
          <w:szCs w:val="20"/>
        </w:rPr>
        <w:t xml:space="preserve">« Ce journaliste en dit plus qu'il ne croit. Certaines choses ne se voient que sous une certaine lumière. — S.H. »</w:t>
      </w:r>
    </w:p>
    <w:p>
      <w:pPr>
        <w:pBdr>
          <w:bottom w:val="single" w:color="999999" w:sz="6" w:space="4"/>
        </w:pBdr>
        <w:spacing w:after="160" w:before="300"/>
      </w:pPr>
      <w:r>
        <w:rPr>
          <w:rFonts w:ascii="Arial" w:cs="Arial" w:eastAsia="Arial" w:hAnsi="Arial"/>
          <w:b/>
          <w:bCs/>
          <w:sz w:val="26"/>
          <w:szCs w:val="26"/>
        </w:rPr>
        <w:t xml:space="preserve">5. L'article du Strand Magazine – version EN</w:t>
      </w:r>
    </w:p>
    <w:p>
      <w:pPr>
        <w:spacing w:after="160"/>
      </w:pPr>
      <w:r>
        <w:rPr>
          <w:rFonts w:ascii="Arial" w:cs="Arial" w:eastAsia="Arial" w:hAnsi="Arial"/>
          <w:i/>
          <w:iCs/>
          <w:color w:val="7F7F7F"/>
          <w:sz w:val="18"/>
          <w:szCs w:val="18"/>
        </w:rPr>
        <w:t xml:space="preserve">→ Maquette : même maquette que la version FR. Acrostiche RÉÉCRIT : les premières lettres épellent O-N-E-O-H-O-N-E (« ONE OH ONE » = 101).</w:t>
      </w:r>
    </w:p>
    <w:p>
      <w:pPr>
        <w:spacing w:after="120" w:before="200"/>
      </w:pPr>
      <w:r>
        <w:rPr>
          <w:rFonts w:ascii="Arial" w:cs="Arial" w:eastAsia="Arial" w:hAnsi="Arial"/>
          <w:b/>
          <w:bCs/>
          <w:sz w:val="22"/>
          <w:szCs w:val="22"/>
        </w:rPr>
        <w:t xml:space="preserve">Visible text</w:t>
      </w:r>
    </w:p>
    <w:p>
      <w:pPr>
        <w:spacing w:after="120"/>
        <w:ind w:left="400"/>
      </w:pPr>
      <w:r>
        <w:rPr>
          <w:rFonts w:ascii="Arial" w:cs="Arial" w:eastAsia="Arial" w:hAnsi="Arial"/>
          <w:i/>
          <w:iCs/>
          <w:sz w:val="20"/>
          <w:szCs w:val="20"/>
        </w:rPr>
        <w:t xml:space="preserve">THE STRAND MAGAZINE — LONDON, THIS THURSDAY</w:t>
      </w:r>
    </w:p>
    <w:p>
      <w:pPr>
        <w:spacing w:after="120"/>
        <w:ind w:left="400"/>
      </w:pPr>
      <w:r>
        <w:rPr>
          <w:rFonts w:ascii="Arial" w:cs="Arial" w:eastAsia="Arial" w:hAnsi="Arial"/>
          <w:i/>
          <w:iCs/>
          <w:sz w:val="20"/>
          <w:szCs w:val="20"/>
        </w:rPr>
        <w:t xml:space="preserve">A WAVE OF BURGLARIES ALARMS THE WEST END</w:t>
      </w:r>
    </w:p>
    <w:p>
      <w:pPr>
        <w:spacing w:after="120"/>
        <w:ind w:left="400"/>
      </w:pPr>
      <w:r>
        <w:rPr>
          <w:rFonts w:ascii="Arial" w:cs="Arial" w:eastAsia="Arial" w:hAnsi="Arial"/>
          <w:i/>
          <w:iCs/>
          <w:sz w:val="20"/>
          <w:szCs w:val="20"/>
        </w:rPr>
        <w:t xml:space="preserve">For three weeks, the most respectable houses of the capital have received the visits of a burglar of uncommon audacity. Jewels, bonds and precious stones vanish without any apparent breaking, under the very noses of the most vigilant servants. Scotland Yard, through Inspector Gregson, assures us that « the net is closing » — a phrase whose constancy our readers will appreciate, as it has been served to us since the very first day.</w:t>
      </w:r>
    </w:p>
    <w:p>
      <w:pPr>
        <w:spacing w:after="120"/>
        <w:ind w:left="400"/>
      </w:pPr>
      <w:r>
        <w:rPr>
          <w:rFonts w:ascii="Arial" w:cs="Arial" w:eastAsia="Arial" w:hAnsi="Arial"/>
          <w:i/>
          <w:iCs/>
          <w:sz w:val="20"/>
          <w:szCs w:val="20"/>
        </w:rPr>
        <w:t xml:space="preserve">It is whispered in the clubs that the thief's latest prize is of exceptional value, and that a celebrated consulting detective of Baker Street has been asked to watch over a most coveted stone. Questioned by our editors, the gentleman let slip only a smile and this enigmatic sentence: « Everything is already written — one need only know how to read. »</w:t>
      </w:r>
    </w:p>
    <w:p>
      <w:pPr>
        <w:spacing w:after="120"/>
        <w:ind w:left="400"/>
      </w:pPr>
      <w:r>
        <w:rPr>
          <w:rFonts w:ascii="Arial" w:cs="Arial" w:eastAsia="Arial" w:hAnsi="Arial"/>
          <w:i/>
          <w:iCs/>
          <w:sz w:val="20"/>
          <w:szCs w:val="20"/>
        </w:rPr>
        <w:t xml:space="preserve">Our readers will judge the method. This newspaper, for its part, wagers that the affair will reach its conclusion before the next tide.</w:t>
      </w:r>
    </w:p>
    <w:p>
      <w:pPr>
        <w:spacing w:after="120" w:before="200"/>
      </w:pPr>
      <w:r>
        <w:rPr>
          <w:rFonts w:ascii="Arial" w:cs="Arial" w:eastAsia="Arial" w:hAnsi="Arial"/>
          <w:b/>
          <w:bCs/>
          <w:sz w:val="22"/>
          <w:szCs w:val="22"/>
        </w:rPr>
        <w:t xml:space="preserve">Hidden passage (printed in pale red — first letters spell O-N-E-O-H-O-N-E)</w:t>
      </w:r>
    </w:p>
    <w:p>
      <w:pPr>
        <w:spacing w:after="120"/>
        <w:ind w:left="400"/>
      </w:pPr>
      <w:r>
        <w:rPr>
          <w:rFonts w:ascii="Arial" w:cs="Arial" w:eastAsia="Arial" w:hAnsi="Arial"/>
          <w:i/>
          <w:iCs/>
          <w:sz w:val="20"/>
          <w:szCs w:val="20"/>
        </w:rPr>
        <w:t xml:space="preserve">Observant minds alone will find what is hidden here. Nothing escapes the reader who attends to detail. Every deduction begins with a first impression. Only the first letters matter in this message. Hidden numbers often hide in plain words. One must count carefully what one reads. Numbers, like clues, reveal themselves to the patient. Even now, the answer is spelled before your eyes.</w:t>
      </w:r>
    </w:p>
    <w:p>
      <w:pPr>
        <w:spacing w:after="120" w:before="200"/>
      </w:pPr>
      <w:r>
        <w:rPr>
          <w:rFonts w:ascii="Arial" w:cs="Arial" w:eastAsia="Arial" w:hAnsi="Arial"/>
          <w:b/>
          <w:bCs/>
          <w:sz w:val="22"/>
          <w:szCs w:val="22"/>
        </w:rPr>
        <w:t xml:space="preserve">Holmes's marginal note</w:t>
      </w:r>
    </w:p>
    <w:p>
      <w:pPr>
        <w:spacing w:after="120"/>
        <w:ind w:left="400"/>
      </w:pPr>
      <w:r>
        <w:rPr>
          <w:rFonts w:ascii="Arial" w:cs="Arial" w:eastAsia="Arial" w:hAnsi="Arial"/>
          <w:i/>
          <w:iCs/>
          <w:sz w:val="20"/>
          <w:szCs w:val="20"/>
        </w:rPr>
        <w:t xml:space="preserve">« This journalist says more than he knows. Some things are only seen under a certain light. — S.H. »</w:t>
      </w:r>
    </w:p>
    <w:p>
      <w:pPr>
        <w:pBdr>
          <w:bottom w:val="single" w:color="999999" w:sz="6" w:space="4"/>
        </w:pBdr>
        <w:spacing w:after="160" w:before="300"/>
      </w:pPr>
      <w:r>
        <w:rPr>
          <w:rFonts w:ascii="Arial" w:cs="Arial" w:eastAsia="Arial" w:hAnsi="Arial"/>
          <w:b/>
          <w:bCs/>
          <w:sz w:val="26"/>
          <w:szCs w:val="26"/>
        </w:rPr>
        <w:t xml:space="preserve">6. La lettre froissée (indice jaune n°4)</w:t>
      </w:r>
    </w:p>
    <w:p>
      <w:pPr>
        <w:spacing w:after="160"/>
      </w:pPr>
      <w:r>
        <w:rPr>
          <w:rFonts w:ascii="Arial" w:cs="Arial" w:eastAsia="Arial" w:hAnsi="Arial"/>
          <w:i/>
          <w:iCs/>
          <w:color w:val="7F7F7F"/>
          <w:sz w:val="18"/>
          <w:szCs w:val="18"/>
        </w:rPr>
        <w:t xml:space="preserve">→ Maquette : A5 papier vieilli. Le texte visible s'imprime en écriture soignée de domestique. Le récit UV s'écrit ensuite À LA MAIN au stylo UV entre les lignes et dans les marges. Froisser puis défroisser. Le majordome, E. Barlow, était l'informateur de Holmes : c'est le cœur narratif de la table.</w:t>
      </w:r>
    </w:p>
    <w:p>
      <w:pPr>
        <w:spacing w:after="120" w:before="200"/>
      </w:pPr>
      <w:r>
        <w:rPr>
          <w:rFonts w:ascii="Arial" w:cs="Arial" w:eastAsia="Arial" w:hAnsi="Arial"/>
          <w:b/>
          <w:bCs/>
          <w:sz w:val="22"/>
          <w:szCs w:val="22"/>
        </w:rPr>
        <w:t xml:space="preserve">Texte visible (imprimé — un mot de service banal)</w:t>
      </w:r>
    </w:p>
    <w:p>
      <w:pPr>
        <w:spacing w:after="120"/>
        <w:ind w:left="400"/>
      </w:pPr>
      <w:r>
        <w:rPr>
          <w:rFonts w:ascii="Arial" w:cs="Arial" w:eastAsia="Arial" w:hAnsi="Arial"/>
          <w:i/>
          <w:iCs/>
          <w:sz w:val="20"/>
          <w:szCs w:val="20"/>
        </w:rPr>
        <w:t xml:space="preserve">Monsieur Holmes,</w:t>
      </w:r>
    </w:p>
    <w:p>
      <w:pPr>
        <w:spacing w:after="120"/>
        <w:ind w:left="400"/>
      </w:pPr>
      <w:r>
        <w:rPr>
          <w:rFonts w:ascii="Arial" w:cs="Arial" w:eastAsia="Arial" w:hAnsi="Arial"/>
          <w:i/>
          <w:iCs/>
          <w:sz w:val="20"/>
          <w:szCs w:val="20"/>
        </w:rPr>
        <w:t xml:space="preserve">Votre courrier de l'après-midi a été porté à la poste de Wigmore Street. Mme Hudson fait dire que le dîner sera servi à huit heures précises et qu'elle n'attendra pas, cette fois. J'ai fait remplacer la vitre du salon et remonté la pendule du palier.</w:t>
      </w:r>
    </w:p>
    <w:p>
      <w:pPr>
        <w:spacing w:after="120"/>
        <w:ind w:left="400"/>
      </w:pPr>
      <w:r>
        <w:rPr>
          <w:rFonts w:ascii="Arial" w:cs="Arial" w:eastAsia="Arial" w:hAnsi="Arial"/>
          <w:i/>
          <w:iCs/>
          <w:sz w:val="20"/>
          <w:szCs w:val="20"/>
        </w:rPr>
        <w:t xml:space="preserve">Votre dévoué serviteur, E. Barlow</w:t>
      </w:r>
    </w:p>
    <w:p>
      <w:pPr>
        <w:spacing w:after="120" w:before="200"/>
      </w:pPr>
      <w:r>
        <w:rPr>
          <w:rFonts w:ascii="Arial" w:cs="Arial" w:eastAsia="Arial" w:hAnsi="Arial"/>
          <w:b/>
          <w:bCs/>
          <w:sz w:val="22"/>
          <w:szCs w:val="22"/>
        </w:rPr>
        <w:t xml:space="preserve">Récit à l'encre invisible (MANUSCRIT au stylo UV — révélé par la lampe)</w:t>
      </w:r>
    </w:p>
    <w:p>
      <w:pPr>
        <w:spacing w:after="120"/>
        <w:ind w:left="400"/>
      </w:pPr>
      <w:r>
        <w:rPr>
          <w:rFonts w:ascii="Arial" w:cs="Arial" w:eastAsia="Arial" w:hAnsi="Arial"/>
          <w:i/>
          <w:iCs/>
          <w:sz w:val="20"/>
          <w:szCs w:val="20"/>
        </w:rPr>
        <w:t xml:space="preserve">M. Holmes — je l'ai suivi comme convenu. Il a tout réglé pour ce soir : il arrive par la gare à dix heures, puis un fiacre l'attendra près du pont. Il fera halte à la taverne pour y prendre son dû, et une barque le portera enfin jusqu'au quai où son bateau lève l'ancre à la marée. Méfiez-vous : je crois qu'il se sait observé. — E.B.</w:t>
      </w:r>
    </w:p>
    <w:p>
      <w:pPr>
        <w:spacing w:after="120"/>
      </w:pPr>
      <w:r>
        <w:rPr>
          <w:rFonts w:ascii="Arial" w:cs="Arial" w:eastAsia="Arial" w:hAnsi="Arial"/>
          <w:i/>
          <w:iCs/>
          <w:sz w:val="20"/>
          <w:szCs w:val="20"/>
        </w:rPr>
        <w:t xml:space="preserve">Logique : la montre du majordome, arrêtée à 23h50, date le crime. L'arrivée par la gare (22h) est antérieure : déjà accomplie, elle ne fait pas partie de la fuite à venir. L'itinéraire à reporter sur la carte est donc pont → taverne → quai, soit 2-8-6.</w:t>
      </w:r>
    </w:p>
    <w:p>
      <w:pPr>
        <w:pBdr>
          <w:bottom w:val="single" w:color="999999" w:sz="6" w:space="4"/>
        </w:pBdr>
        <w:spacing w:after="160" w:before="300"/>
      </w:pPr>
      <w:r>
        <w:rPr>
          <w:rFonts w:ascii="Arial" w:cs="Arial" w:eastAsia="Arial" w:hAnsi="Arial"/>
          <w:b/>
          <w:bCs/>
          <w:sz w:val="26"/>
          <w:szCs w:val="26"/>
        </w:rPr>
        <w:t xml:space="preserve">7. La carte de Londres (4 fragments)</w:t>
      </w:r>
    </w:p>
    <w:p>
      <w:pPr>
        <w:spacing w:after="160"/>
      </w:pPr>
      <w:r>
        <w:rPr>
          <w:rFonts w:ascii="Arial" w:cs="Arial" w:eastAsia="Arial" w:hAnsi="Arial"/>
          <w:i/>
          <w:iCs/>
          <w:color w:val="7F7F7F"/>
          <w:sz w:val="18"/>
          <w:szCs w:val="18"/>
        </w:rPr>
        <w:t xml:space="preserve">→ Maquette : A3 cartonné, style plan gravé 1890, la Tamise en travers. Imprimer entière, découper en 4 fragments irréguliers (1 par cachette). Les 4 lieux numérotés portent une pastille bien lisible ; les lieux décor n'ont pas de numéro.</w:t>
      </w:r>
    </w:p>
    <w:p>
      <w:pPr>
        <w:spacing w:after="120" w:before="200"/>
      </w:pPr>
      <w:r>
        <w:rPr>
          <w:rFonts w:ascii="Arial" w:cs="Arial" w:eastAsia="Arial" w:hAnsi="Arial"/>
          <w:b/>
          <w:bCs/>
          <w:sz w:val="22"/>
          <w:szCs w:val="22"/>
        </w:rPr>
        <w:t xml:space="preserve">Lieux numérotés (pastilles)</w:t>
      </w:r>
    </w:p>
    <w:p>
      <w:pPr>
        <w:pStyle w:val="ListParagraph"/>
        <w:numPr>
          <w:ilvl w:val="0"/>
          <w:numId w:val="2"/>
        </w:numPr>
        <w:spacing w:after="80"/>
      </w:pPr>
      <w:r>
        <w:rPr>
          <w:rFonts w:ascii="Arial" w:cs="Arial" w:eastAsia="Arial" w:hAnsi="Arial"/>
          <w:b/>
          <w:bCs/>
          <w:sz w:val="20"/>
          <w:szCs w:val="20"/>
        </w:rPr>
        <w:t xml:space="preserve">2</w:t>
      </w:r>
      <w:r>
        <w:rPr>
          <w:rFonts w:ascii="Arial" w:cs="Arial" w:eastAsia="Arial" w:hAnsi="Arial"/>
          <w:sz w:val="20"/>
          <w:szCs w:val="20"/>
        </w:rPr>
        <w:t xml:space="preserve"> — Pont de Londres</w:t>
      </w:r>
    </w:p>
    <w:p>
      <w:pPr>
        <w:pStyle w:val="ListParagraph"/>
        <w:numPr>
          <w:ilvl w:val="0"/>
          <w:numId w:val="2"/>
        </w:numPr>
        <w:spacing w:after="80"/>
      </w:pPr>
      <w:r>
        <w:rPr>
          <w:rFonts w:ascii="Arial" w:cs="Arial" w:eastAsia="Arial" w:hAnsi="Arial"/>
          <w:b/>
          <w:bCs/>
          <w:sz w:val="20"/>
          <w:szCs w:val="20"/>
        </w:rPr>
        <w:t xml:space="preserve">4</w:t>
      </w:r>
      <w:r>
        <w:rPr>
          <w:rFonts w:ascii="Arial" w:cs="Arial" w:eastAsia="Arial" w:hAnsi="Arial"/>
          <w:sz w:val="20"/>
          <w:szCs w:val="20"/>
        </w:rPr>
        <w:t xml:space="preserve"> — Gare de Charing Cross</w:t>
      </w:r>
    </w:p>
    <w:p>
      <w:pPr>
        <w:pStyle w:val="ListParagraph"/>
        <w:numPr>
          <w:ilvl w:val="0"/>
          <w:numId w:val="2"/>
        </w:numPr>
        <w:spacing w:after="80"/>
      </w:pPr>
      <w:r>
        <w:rPr>
          <w:rFonts w:ascii="Arial" w:cs="Arial" w:eastAsia="Arial" w:hAnsi="Arial"/>
          <w:b/>
          <w:bCs/>
          <w:sz w:val="20"/>
          <w:szCs w:val="20"/>
        </w:rPr>
        <w:t xml:space="preserve">6</w:t>
      </w:r>
      <w:r>
        <w:rPr>
          <w:rFonts w:ascii="Arial" w:cs="Arial" w:eastAsia="Arial" w:hAnsi="Arial"/>
          <w:sz w:val="20"/>
          <w:szCs w:val="20"/>
        </w:rPr>
        <w:t xml:space="preserve"> — Quai de St Katharine </w:t>
      </w:r>
      <w:r>
        <w:rPr>
          <w:rFonts w:ascii="Arial" w:cs="Arial" w:eastAsia="Arial" w:hAnsi="Arial"/>
          <w:i/>
          <w:iCs/>
          <w:sz w:val="20"/>
          <w:szCs w:val="20"/>
        </w:rPr>
        <w:t xml:space="preserve">(inscrire « S.S. Orient Star à quai » en petit — la boucle se referme avec l'étiquette du violon)</w:t>
      </w:r>
    </w:p>
    <w:p>
      <w:pPr>
        <w:pStyle w:val="ListParagraph"/>
        <w:numPr>
          <w:ilvl w:val="0"/>
          <w:numId w:val="2"/>
        </w:numPr>
        <w:spacing w:after="80"/>
      </w:pPr>
      <w:r>
        <w:rPr>
          <w:rFonts w:ascii="Arial" w:cs="Arial" w:eastAsia="Arial" w:hAnsi="Arial"/>
          <w:b/>
          <w:bCs/>
          <w:sz w:val="20"/>
          <w:szCs w:val="20"/>
        </w:rPr>
        <w:t xml:space="preserve">8</w:t>
      </w:r>
      <w:r>
        <w:rPr>
          <w:rFonts w:ascii="Arial" w:cs="Arial" w:eastAsia="Arial" w:hAnsi="Arial"/>
          <w:sz w:val="20"/>
          <w:szCs w:val="20"/>
        </w:rPr>
        <w:t xml:space="preserve"> — Taverne du Cheval Noir</w:t>
      </w:r>
    </w:p>
    <w:p>
      <w:pPr>
        <w:spacing w:after="120" w:before="200"/>
      </w:pPr>
      <w:r>
        <w:rPr>
          <w:rFonts w:ascii="Arial" w:cs="Arial" w:eastAsia="Arial" w:hAnsi="Arial"/>
          <w:b/>
          <w:bCs/>
          <w:sz w:val="22"/>
          <w:szCs w:val="22"/>
        </w:rPr>
        <w:t xml:space="preserve">Lieux décor (sans numéro)</w:t>
      </w:r>
    </w:p>
    <w:p>
      <w:pPr>
        <w:pStyle w:val="ListParagraph"/>
        <w:numPr>
          <w:ilvl w:val="0"/>
          <w:numId w:val="2"/>
        </w:numPr>
        <w:spacing w:after="80"/>
      </w:pPr>
      <w:r>
        <w:rPr>
          <w:rFonts w:ascii="Arial" w:cs="Arial" w:eastAsia="Arial" w:hAnsi="Arial"/>
          <w:sz w:val="20"/>
          <w:szCs w:val="20"/>
        </w:rPr>
        <w:t xml:space="preserve">221B Baker Street (marqué d'une petite loupe), Scotland Yard, Hyde Park, la Tamise, Regent's Park, cathédrale St Paul</w:t>
      </w:r>
    </w:p>
    <w:p>
      <w:pPr>
        <w:spacing w:after="120"/>
      </w:pPr>
      <w:r>
        <w:rPr>
          <w:rFonts w:ascii="Arial" w:cs="Arial" w:eastAsia="Arial" w:hAnsi="Arial"/>
          <w:i/>
          <w:iCs/>
          <w:sz w:val="20"/>
          <w:szCs w:val="20"/>
        </w:rPr>
        <w:t xml:space="preserve">Répartition des fragments : n°1 dans le carnet (avec Baker Street), n°2 dans la boîte à secret (avec le pont), n°3 dans la doublure du violon (avec la taverne et la gare), n°4 dans le double-fond du coffre (avec le quai) — le quai, réponse finale, arrive en dernier.</w:t>
      </w:r>
    </w:p>
    <w:p>
      <w:pPr>
        <w:pBdr>
          <w:bottom w:val="single" w:color="999999" w:sz="6" w:space="4"/>
        </w:pBdr>
        <w:spacing w:after="160" w:before="300"/>
      </w:pPr>
      <w:r>
        <w:rPr>
          <w:rFonts w:ascii="Arial" w:cs="Arial" w:eastAsia="Arial" w:hAnsi="Arial"/>
          <w:b/>
          <w:bCs/>
          <w:sz w:val="26"/>
          <w:szCs w:val="26"/>
        </w:rPr>
        <w:t xml:space="preserve">8. L'étiquette de voyage (étui à violon)</w:t>
      </w:r>
    </w:p>
    <w:p>
      <w:pPr>
        <w:spacing w:after="160"/>
      </w:pPr>
      <w:r>
        <w:rPr>
          <w:rFonts w:ascii="Arial" w:cs="Arial" w:eastAsia="Arial" w:hAnsi="Arial"/>
          <w:i/>
          <w:iCs/>
          <w:color w:val="7F7F7F"/>
          <w:sz w:val="18"/>
          <w:szCs w:val="18"/>
        </w:rPr>
        <w:t xml:space="preserve">→ Maquette : étiquette bagage kraft achetée, texte ÉCRIT À LA MAIN, encre sépia, écriture pressée.</w:t>
      </w:r>
    </w:p>
    <w:p>
      <w:pPr>
        <w:spacing w:after="120"/>
        <w:ind w:left="400"/>
      </w:pPr>
      <w:r>
        <w:rPr>
          <w:rFonts w:ascii="Arial" w:cs="Arial" w:eastAsia="Arial" w:hAnsi="Arial"/>
          <w:i/>
          <w:iCs/>
          <w:sz w:val="20"/>
          <w:szCs w:val="20"/>
        </w:rPr>
        <w:t xml:space="preserve">S.S. ORIENT STAR — Quai de St Katharine — Départ jeudi soir, à la marée haute</w:t>
      </w:r>
    </w:p>
    <w:p>
      <w:pPr>
        <w:pBdr>
          <w:bottom w:val="single" w:color="999999" w:sz="6" w:space="4"/>
        </w:pBdr>
        <w:spacing w:after="160" w:before="300"/>
      </w:pPr>
      <w:r>
        <w:rPr>
          <w:rFonts w:ascii="Arial" w:cs="Arial" w:eastAsia="Arial" w:hAnsi="Arial"/>
          <w:b/>
          <w:bCs/>
          <w:sz w:val="26"/>
          <w:szCs w:val="26"/>
        </w:rPr>
        <w:t xml:space="preserve">9. Les 5 notes de Watson (rappel)</w:t>
      </w:r>
    </w:p>
    <w:p>
      <w:pPr>
        <w:spacing w:after="160"/>
      </w:pPr>
      <w:r>
        <w:rPr>
          <w:rFonts w:ascii="Arial" w:cs="Arial" w:eastAsia="Arial" w:hAnsi="Arial"/>
          <w:i/>
          <w:iCs/>
          <w:color w:val="7F7F7F"/>
          <w:sz w:val="18"/>
          <w:szCs w:val="18"/>
        </w:rPr>
        <w:t xml:space="preserve">→ Maquette : A6 papier vieilli, police manuscrite — déjà fournies dans « Notes de Watson - textes de cohérence.docx », reprises ici pour mémoire.</w:t>
      </w:r>
    </w:p>
    <w:p>
      <w:pPr>
        <w:pStyle w:val="ListParagraph"/>
        <w:numPr>
          <w:ilvl w:val="0"/>
          <w:numId w:val="2"/>
        </w:numPr>
        <w:spacing w:after="80"/>
      </w:pPr>
      <w:r>
        <w:rPr>
          <w:rFonts w:ascii="Arial" w:cs="Arial" w:eastAsia="Arial" w:hAnsi="Arial"/>
          <w:b/>
          <w:bCs/>
          <w:sz w:val="20"/>
          <w:szCs w:val="20"/>
        </w:rPr>
        <w:t xml:space="preserve">N°1 (près des suspects) : </w:t>
      </w:r>
      <w:r>
        <w:rPr>
          <w:rFonts w:ascii="Arial" w:cs="Arial" w:eastAsia="Arial" w:hAnsi="Arial"/>
          <w:i/>
          <w:iCs/>
          <w:sz w:val="20"/>
          <w:szCs w:val="20"/>
        </w:rPr>
        <w:t xml:space="preserve">« Holmes dit toujours : éliminez l'impossible. Ce ticket déchiré contredit certains alibis... et une empreinte ne ment jamais, à condition de la lire dans le bon sens. — J.W. »</w:t>
      </w:r>
    </w:p>
    <w:p>
      <w:pPr>
        <w:pStyle w:val="ListParagraph"/>
        <w:numPr>
          <w:ilvl w:val="0"/>
          <w:numId w:val="2"/>
        </w:numPr>
        <w:spacing w:after="80"/>
      </w:pPr>
      <w:r>
        <w:rPr>
          <w:rFonts w:ascii="Arial" w:cs="Arial" w:eastAsia="Arial" w:hAnsi="Arial"/>
          <w:b/>
          <w:bCs/>
          <w:sz w:val="20"/>
          <w:szCs w:val="20"/>
        </w:rPr>
        <w:t xml:space="preserve">N°2 (marge de l'article) : </w:t>
      </w:r>
      <w:r>
        <w:rPr>
          <w:rFonts w:ascii="Arial" w:cs="Arial" w:eastAsia="Arial" w:hAnsi="Arial"/>
          <w:i/>
          <w:iCs/>
          <w:sz w:val="20"/>
          <w:szCs w:val="20"/>
        </w:rPr>
        <w:t xml:space="preserve">« Ce journaliste en dit plus qu'il ne croit. Certaines choses ne se voient que sous une certaine lumière. — S.H. »</w:t>
      </w:r>
    </w:p>
    <w:p>
      <w:pPr>
        <w:pStyle w:val="ListParagraph"/>
        <w:numPr>
          <w:ilvl w:val="0"/>
          <w:numId w:val="2"/>
        </w:numPr>
        <w:spacing w:after="80"/>
      </w:pPr>
      <w:r>
        <w:rPr>
          <w:rFonts w:ascii="Arial" w:cs="Arial" w:eastAsia="Arial" w:hAnsi="Arial"/>
          <w:b/>
          <w:bCs/>
          <w:sz w:val="20"/>
          <w:szCs w:val="20"/>
        </w:rPr>
        <w:t xml:space="preserve">N°3 (dans le carnet) : </w:t>
      </w:r>
      <w:r>
        <w:rPr>
          <w:rFonts w:ascii="Arial" w:cs="Arial" w:eastAsia="Arial" w:hAnsi="Arial"/>
          <w:i/>
          <w:iCs/>
          <w:sz w:val="20"/>
          <w:szCs w:val="20"/>
        </w:rPr>
        <w:t xml:space="preserve">« Les habitudes du soir de Holmes vous mèneront plus loin — le violon n'a jamais quitté cette pièce, et pourtant son étui a voyagé. — J.W. »</w:t>
      </w:r>
    </w:p>
    <w:p>
      <w:pPr>
        <w:pStyle w:val="ListParagraph"/>
        <w:numPr>
          <w:ilvl w:val="0"/>
          <w:numId w:val="2"/>
        </w:numPr>
        <w:spacing w:after="80"/>
      </w:pPr>
      <w:r>
        <w:rPr>
          <w:rFonts w:ascii="Arial" w:cs="Arial" w:eastAsia="Arial" w:hAnsi="Arial"/>
          <w:b/>
          <w:bCs/>
          <w:sz w:val="20"/>
          <w:szCs w:val="20"/>
        </w:rPr>
        <w:t xml:space="preserve">N°4 (dans le coffre, avec la lampe UV) : </w:t>
      </w:r>
      <w:r>
        <w:rPr>
          <w:rFonts w:ascii="Arial" w:cs="Arial" w:eastAsia="Arial" w:hAnsi="Arial"/>
          <w:i/>
          <w:iCs/>
          <w:sz w:val="20"/>
          <w:szCs w:val="20"/>
        </w:rPr>
        <w:t xml:space="preserve">« Ce que la craie ne montre pas, la lumière de Holmes le révèle. Relisez ce qui vous a semblé banal. — J.W. »</w:t>
      </w:r>
    </w:p>
    <w:p>
      <w:pPr>
        <w:pStyle w:val="ListParagraph"/>
        <w:numPr>
          <w:ilvl w:val="0"/>
          <w:numId w:val="2"/>
        </w:numPr>
        <w:spacing w:after="80"/>
      </w:pPr>
      <w:r>
        <w:rPr>
          <w:rFonts w:ascii="Arial" w:cs="Arial" w:eastAsia="Arial" w:hAnsi="Arial"/>
          <w:b/>
          <w:bCs/>
          <w:sz w:val="20"/>
          <w:szCs w:val="20"/>
        </w:rPr>
        <w:t xml:space="preserve">N°5 (dans la malle, avec le diamant) : </w:t>
      </w:r>
      <w:r>
        <w:rPr>
          <w:rFonts w:ascii="Arial" w:cs="Arial" w:eastAsia="Arial" w:hAnsi="Arial"/>
          <w:i/>
          <w:iCs/>
          <w:sz w:val="20"/>
          <w:szCs w:val="20"/>
        </w:rPr>
        <w:t xml:space="preserve">« Élémentaire, mes chers détectives ! Le colonel Moran a été cueilli sur le quai, le pied sur la passerelle. Le diamant regagne son écrin, et Scotland Yard vous doit une fière chandelle. — John H. Watson »</w:t>
      </w:r>
    </w:p>
    <w:p>
      <w:pPr>
        <w:pBdr>
          <w:bottom w:val="single" w:color="999999" w:sz="6" w:space="4"/>
        </w:pBdr>
        <w:spacing w:after="160" w:before="300"/>
      </w:pPr>
      <w:r>
        <w:rPr>
          <w:rFonts w:ascii="Arial" w:cs="Arial" w:eastAsia="Arial" w:hAnsi="Arial"/>
          <w:b/>
          <w:bCs/>
          <w:sz w:val="26"/>
          <w:szCs w:val="26"/>
        </w:rPr>
        <w:t xml:space="preserve">10. Table de cohérence (vérification avant maquettage)</w:t>
      </w:r>
    </w:p>
    <w:p>
      <w:pPr>
        <w:pStyle w:val="ListParagraph"/>
        <w:numPr>
          <w:ilvl w:val="0"/>
          <w:numId w:val="2"/>
        </w:numPr>
        <w:spacing w:after="80"/>
      </w:pPr>
      <w:r>
        <w:rPr>
          <w:rFonts w:ascii="Arial" w:cs="Arial" w:eastAsia="Arial" w:hAnsi="Arial"/>
          <w:sz w:val="20"/>
          <w:szCs w:val="20"/>
        </w:rPr>
        <w:t xml:space="preserve">Le ticket dit : Lyceum, jeudi, 21h30 → élimine Gregson (au Yard, vérifié) et Windibank (à Camberwell, vérifié).</w:t>
      </w:r>
    </w:p>
    <w:p>
      <w:pPr>
        <w:pStyle w:val="ListParagraph"/>
        <w:numPr>
          <w:ilvl w:val="0"/>
          <w:numId w:val="2"/>
        </w:numPr>
        <w:spacing w:after="80"/>
      </w:pPr>
      <w:r>
        <w:rPr>
          <w:rFonts w:ascii="Arial" w:cs="Arial" w:eastAsia="Arial" w:hAnsi="Arial"/>
          <w:sz w:val="20"/>
          <w:szCs w:val="20"/>
        </w:rPr>
        <w:t xml:space="preserve">Le registre dit : seuls Moran et Hayes ont un verticille à double boucle → élimine Adler.</w:t>
      </w:r>
    </w:p>
    <w:p>
      <w:pPr>
        <w:pStyle w:val="ListParagraph"/>
        <w:numPr>
          <w:ilvl w:val="0"/>
          <w:numId w:val="2"/>
        </w:numPr>
        <w:spacing w:after="80"/>
      </w:pPr>
      <w:r>
        <w:rPr>
          <w:rFonts w:ascii="Arial" w:cs="Arial" w:eastAsia="Arial" w:hAnsi="Arial"/>
          <w:sz w:val="20"/>
          <w:szCs w:val="20"/>
        </w:rPr>
        <w:t xml:space="preserve">Le fil de tissu dit : tweed brun-roux → manteau de Moran (Hayes porte de la laine grise) → coupable : MORAN (5 lettres, cryptex).</w:t>
      </w:r>
    </w:p>
    <w:p>
      <w:pPr>
        <w:pStyle w:val="ListParagraph"/>
        <w:numPr>
          <w:ilvl w:val="0"/>
          <w:numId w:val="2"/>
        </w:numPr>
        <w:spacing w:after="80"/>
      </w:pPr>
      <w:r>
        <w:rPr>
          <w:rFonts w:ascii="Arial" w:cs="Arial" w:eastAsia="Arial" w:hAnsi="Arial"/>
          <w:sz w:val="20"/>
          <w:szCs w:val="20"/>
        </w:rPr>
        <w:t xml:space="preserve">L'acrostiche dit : CENT UN (FR) / ONE OH ONE (EN) → 101, boîte à secret.</w:t>
      </w:r>
    </w:p>
    <w:p>
      <w:pPr>
        <w:pStyle w:val="ListParagraph"/>
        <w:numPr>
          <w:ilvl w:val="0"/>
          <w:numId w:val="2"/>
        </w:numPr>
        <w:spacing w:after="80"/>
      </w:pPr>
      <w:r>
        <w:rPr>
          <w:rFonts w:ascii="Arial" w:cs="Arial" w:eastAsia="Arial" w:hAnsi="Arial"/>
          <w:sz w:val="20"/>
          <w:szCs w:val="20"/>
        </w:rPr>
        <w:t xml:space="preserve">La lettre UV + la montre (23h50) disent : gare (22h) antérieure au crime, fuite = pont (2) → taverne (8) → quai (6) → 286, malle finale.</w:t>
      </w:r>
    </w:p>
    <w:p>
      <w:pPr>
        <w:pStyle w:val="ListParagraph"/>
        <w:numPr>
          <w:ilvl w:val="0"/>
          <w:numId w:val="2"/>
        </w:numPr>
        <w:spacing w:after="80"/>
      </w:pPr>
      <w:r>
        <w:rPr>
          <w:rFonts w:ascii="Arial" w:cs="Arial" w:eastAsia="Arial" w:hAnsi="Arial"/>
          <w:sz w:val="20"/>
          <w:szCs w:val="20"/>
        </w:rPr>
        <w:t xml:space="preserve">L'étiquette du violon et la carte convergent : S.S. Orient Star, quai de St Katharine — le lieu où Moran est cueilli.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2026-07-16T20:15:32.978Z</dcterms:created>
  <dcterms:modified xsi:type="dcterms:W3CDTF">2026-07-16T20:15:32.995Z</dcterms:modified>
</cp:coreProperties>
</file>

<file path=docProps/custom.xml><?xml version="1.0" encoding="utf-8"?>
<Properties xmlns="http://schemas.openxmlformats.org/officeDocument/2006/custom-properties" xmlns:vt="http://schemas.openxmlformats.org/officeDocument/2006/docPropsVTypes"/>
</file>