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keepNext w:val="1"/>
        <w:spacing w:after="120" w:before="240"/>
        <w:ind/>
        <w:jc w:val="center"/>
      </w:pPr>
      <w:r>
        <w:t>Реферат</w:t>
      </w:r>
    </w:p>
    <w:p w14:paraId="04000000">
      <w:pPr>
        <w:pStyle w:val="Style_2"/>
        <w:spacing w:after="0" w:before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21 с., 9 частей., 9 рис.,11 табл., 10 источников</w:t>
      </w:r>
    </w:p>
    <w:p w14:paraId="05000000">
      <w:pPr>
        <w:pStyle w:val="Style_2"/>
        <w:spacing w:after="0" w:before="28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MBSE, СИСТЕМНАЯ ИНЖЕНЕРИЯ, ПРОГРАММНОЕ ОБЕСПЕЧЕНИЕ, АНАЛИЗ HARA, ФУНКЦИОНАЛЬНАЯ БЕЗОПАСНОСТЬ, ватс, ЗАИНТЕРЕСОВАННЫЕ СТОРОНЫ. Объектом разработки является с</w:t>
      </w:r>
      <w:r>
        <w:rPr>
          <w:rFonts w:ascii="Times New Roman" w:hAnsi="Times New Roman"/>
          <w:sz w:val="28"/>
        </w:rPr>
        <w:t xml:space="preserve">истема интеллектуальной поддержки определения параметров риска при анализе рисков. </w:t>
      </w:r>
    </w:p>
    <w:p w14:paraId="06000000">
      <w:pPr>
        <w:pStyle w:val="Style_2"/>
        <w:spacing w:after="0" w:before="28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Предмет разработки – многокритериальный анализ на основе требований и показателей результативности </w:t>
      </w:r>
      <w:r>
        <w:rPr>
          <w:rFonts w:ascii="Times New Roman" w:hAnsi="Times New Roman"/>
          <w:sz w:val="28"/>
        </w:rPr>
        <w:t>к 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истеме интеллектуальной поддержки определения параметров риска при анализе рисков.</w:t>
      </w:r>
    </w:p>
    <w:p w14:paraId="07000000">
      <w:pPr>
        <w:pStyle w:val="Style_2"/>
        <w:spacing w:after="0" w:before="28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</w:t>
      </w:r>
    </w:p>
    <w:p w14:paraId="08000000">
      <w:pPr>
        <w:numPr>
          <w:ilvl w:val="0"/>
          <w:numId w:val="1"/>
        </w:numPr>
        <w:spacing w:after="0" w:before="280" w:line="240" w:lineRule="auto"/>
        <w:ind w:hanging="360" w:left="72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Сформировать целостное представление об инструментарии анализа альтернатив, применяемом в проектной деятельности по созданию и развитию технологических систем;</w:t>
      </w:r>
    </w:p>
    <w:p w14:paraId="09000000">
      <w:pPr>
        <w:numPr>
          <w:ilvl w:val="0"/>
          <w:numId w:val="1"/>
        </w:numPr>
        <w:spacing w:after="0" w:before="280" w:line="240" w:lineRule="auto"/>
        <w:ind w:hanging="360" w:left="72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Получить базовые знания и навыки, необходимые системному инженеру для корректного анализа альтернатив на стадии формирования концепции системы.</w:t>
      </w:r>
    </w:p>
    <w:p w14:paraId="0A000000">
      <w:pPr>
        <w:pStyle w:val="Style_2"/>
        <w:spacing w:after="0" w:before="28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 работы:</w:t>
      </w:r>
    </w:p>
    <w:p w14:paraId="0B000000">
      <w:pPr>
        <w:numPr>
          <w:ilvl w:val="0"/>
          <w:numId w:val="2"/>
        </w:numPr>
        <w:spacing w:after="0" w:before="280" w:line="240" w:lineRule="auto"/>
        <w:ind w:hanging="360" w:left="72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Использовать на практике общепринятые подходы к анализу альтернатив.</w:t>
      </w:r>
    </w:p>
    <w:p w14:paraId="0C000000">
      <w:pPr>
        <w:numPr>
          <w:ilvl w:val="0"/>
          <w:numId w:val="2"/>
        </w:numPr>
        <w:spacing w:after="0" w:before="280" w:line="240" w:lineRule="auto"/>
        <w:ind w:hanging="360" w:left="72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Научиться эффективно применять инструментарий анализа альтернатив, в частности, формулирование показателей результативности различного уровня, подбор отдельных показателей к выбранной системе, отбор на их основе и на основе требований критериев оценивания и проведение многокритериального анализа альтернатив. </w:t>
      </w:r>
    </w:p>
    <w:p w14:paraId="0D000000">
      <w:pPr>
        <w:pStyle w:val="Style_2"/>
        <w:spacing w:after="0" w:before="28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Ограничением деятельности, проводимой в курсовой работе, является то, что проводится верификация требований к системе в целом без последующего порождения требований и распределения требований по физическим компонентам системы.</w:t>
      </w:r>
    </w:p>
    <w:p w14:paraId="0E000000">
      <w:pPr>
        <w:pStyle w:val="Style_2"/>
        <w:spacing w:after="0" w:before="28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выполнения курсовой работы использовались теоретические методы исследования – построение таблиц, рисунков и диаграмм, а также опора на литературу.</w:t>
      </w:r>
    </w:p>
    <w:p w14:paraId="0F000000">
      <w:pPr>
        <w:pStyle w:val="Style_2"/>
        <w:ind/>
        <w:jc w:val="center"/>
        <w:rPr>
          <w:b w:val="1"/>
          <w:sz w:val="28"/>
        </w:rPr>
      </w:pPr>
      <w:r>
        <w:rPr>
          <w:rFonts w:ascii="Times New Roman" w:hAnsi="Times New Roman"/>
          <w:sz w:val="28"/>
        </w:rPr>
        <w:t>В результате выполнения работы были созданы выводы по результатам анализа альтернатив, приведённые после анализа альтенатив.</w:t>
      </w:r>
      <w:r>
        <w:br w:type="page"/>
      </w:r>
    </w:p>
    <w:p w14:paraId="10000000">
      <w:pPr>
        <w:keepLines w:val="1"/>
        <w:tabs>
          <w:tab w:leader="none" w:pos="5529" w:val="clear"/>
        </w:tabs>
        <w:spacing w:after="0" w:before="240" w:line="264" w:lineRule="auto"/>
        <w:ind w:firstLine="0" w:left="0"/>
        <w:jc w:val="left"/>
        <w:outlineLvl w:val="8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Содержание</w:t>
      </w:r>
    </w:p>
    <w:p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"__RefHeading___3"</w:instrText>
      </w:r>
      <w:r>
        <w:fldChar w:fldCharType="separate"/>
      </w:r>
      <w:r>
        <w:t>1. Описание системы и надсистемы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2000000">
      <w:pPr>
        <w:pStyle w:val="Style_4"/>
        <w:tabs>
          <w:tab w:leader="dot" w:pos="10063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1.1. Надсистема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3000000">
      <w:pPr>
        <w:pStyle w:val="Style_4"/>
        <w:tabs>
          <w:tab w:leader="dot" w:pos="10063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1.2. Миссия надсистемы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4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2.Формулировка проблем и ЗС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5000000">
      <w:pPr>
        <w:pStyle w:val="Style_4"/>
        <w:tabs>
          <w:tab w:leader="dot" w:pos="10063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2.1 Заинтересованные стороны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6000000">
      <w:pPr>
        <w:pStyle w:val="Style_4"/>
        <w:tabs>
          <w:tab w:leader="dot" w:pos="10063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2.2. Формулировка проблем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7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 Требования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8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4. Показатели результативности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9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5. Варианты преобразования деятельности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A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6. Критерии сравнения вариантов преобразования деятельности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B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7. Метод оценивания альтернатив</w:t>
      </w:r>
      <w:r>
        <w:tab/>
      </w:r>
      <w:r>
        <w:fldChar w:fldCharType="begin"/>
      </w:r>
      <w:r>
        <w:instrText>PAGEREF __RefHeading___13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1C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8. Анализ альтернатив вариантов преобразования деятельности</w:t>
      </w:r>
      <w:r>
        <w:tab/>
      </w:r>
      <w:r>
        <w:fldChar w:fldCharType="begin"/>
      </w:r>
      <w:r>
        <w:instrText>PAGEREF __RefHeading___14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dot" w:pos="10063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9. Анализ альтернатив для способов автоматизации</w:t>
      </w:r>
      <w:r>
        <w:tab/>
      </w:r>
      <w:r>
        <w:fldChar w:fldCharType="begin"/>
      </w:r>
      <w:r>
        <w:instrText>PAGEREF __RefHeading___15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1E000000">
      <w:pPr>
        <w:pStyle w:val="Style_5"/>
        <w:tabs>
          <w:tab w:leader="dot" w:pos="10063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Список использованной литературы</w:t>
      </w:r>
      <w:r>
        <w:tab/>
      </w:r>
      <w:r>
        <w:fldChar w:fldCharType="begin"/>
      </w:r>
      <w:r>
        <w:instrText>PAGEREF __RefHeading___16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 w14:paraId="20000000"/>
    <w:p w14:paraId="21000000">
      <w:pPr>
        <w:keepLines w:val="1"/>
        <w:tabs>
          <w:tab w:leader="none" w:pos="5529" w:val="clear"/>
        </w:tabs>
        <w:spacing w:after="0" w:before="240" w:line="264" w:lineRule="auto"/>
        <w:ind w:firstLine="0" w:left="0"/>
        <w:jc w:val="left"/>
        <w:outlineLvl w:val="8"/>
        <w:rPr>
          <w:rFonts w:ascii="Times New Roman" w:hAnsi="Times New Roman"/>
          <w:b w:val="1"/>
          <w:color w:val="000000"/>
          <w:sz w:val="28"/>
        </w:rPr>
      </w:pPr>
      <w:r>
        <w:br w:type="page"/>
      </w:r>
    </w:p>
    <w:p w14:paraId="22000000"/>
    <w:p w14:paraId="23000000">
      <w:pPr>
        <w:pStyle w:val="Style_2"/>
        <w:rPr>
          <w:b w:val="1"/>
        </w:rPr>
      </w:pPr>
      <w:r>
        <w:rPr>
          <w:b w:val="1"/>
        </w:rPr>
        <w:t>Перечень сокращений</w:t>
      </w:r>
    </w:p>
    <w:p w14:paraId="24000000">
      <w:pPr>
        <w:pStyle w:val="Style_2"/>
        <w:spacing w:after="0" w:before="24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ЗС – </w:t>
      </w:r>
      <w:r>
        <w:rPr>
          <w:rFonts w:ascii="Times New Roman" w:hAnsi="Times New Roman"/>
          <w:sz w:val="28"/>
        </w:rPr>
        <w:t>заинтересованная сторона</w:t>
      </w:r>
    </w:p>
    <w:p w14:paraId="25000000">
      <w:pPr>
        <w:pStyle w:val="Style_2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АС – </w:t>
      </w:r>
      <w:r>
        <w:rPr>
          <w:rFonts w:ascii="Times New Roman" w:hAnsi="Times New Roman"/>
          <w:sz w:val="28"/>
        </w:rPr>
        <w:t>автоматизированная система</w:t>
      </w:r>
    </w:p>
    <w:p w14:paraId="26000000">
      <w:pPr>
        <w:pStyle w:val="Style_2"/>
        <w:spacing w:after="0" w:before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ВАТС – </w:t>
      </w:r>
      <w:r>
        <w:rPr>
          <w:rFonts w:ascii="Times New Roman" w:hAnsi="Times New Roman"/>
          <w:sz w:val="28"/>
        </w:rPr>
        <w:t>высокоавтоматизированное автомобильное транспортное средство</w:t>
      </w:r>
    </w:p>
    <w:p w14:paraId="27000000">
      <w:pPr>
        <w:pStyle w:val="Style_2"/>
        <w:spacing w:after="0" w:before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ДТП – </w:t>
      </w:r>
      <w:r>
        <w:rPr>
          <w:rFonts w:ascii="Times New Roman" w:hAnsi="Times New Roman"/>
          <w:sz w:val="28"/>
        </w:rPr>
        <w:t xml:space="preserve">Дорожно-транспортное </w:t>
      </w:r>
      <w:r>
        <w:rPr>
          <w:rFonts w:ascii="Times New Roman" w:hAnsi="Times New Roman"/>
          <w:sz w:val="28"/>
        </w:rPr>
        <w:t>прои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шествие</w:t>
      </w:r>
    </w:p>
    <w:p w14:paraId="28000000">
      <w:pPr>
        <w:pStyle w:val="Style_2"/>
        <w:spacing w:after="0" w:before="0" w:line="360" w:lineRule="auto"/>
        <w:ind/>
        <w:jc w:val="both"/>
        <w:rPr>
          <w:b w:val="1"/>
        </w:rPr>
      </w:pPr>
    </w:p>
    <w:p w14:paraId="29000000">
      <w:pPr>
        <w:pStyle w:val="Style_2"/>
        <w:rPr>
          <w:b w:val="1"/>
        </w:rPr>
      </w:pPr>
      <w:r>
        <w:rPr>
          <w:b w:val="1"/>
        </w:rPr>
        <w:t>Введение</w:t>
      </w:r>
    </w:p>
    <w:p w14:paraId="2A000000">
      <w:pPr>
        <w:pStyle w:val="Style_2"/>
        <w:ind/>
        <w:jc w:val="center"/>
        <w:rPr>
          <w:b w:val="1"/>
          <w:sz w:val="28"/>
        </w:rPr>
      </w:pPr>
      <w:r>
        <w:rPr>
          <w:rFonts w:ascii="Times New Roman" w:hAnsi="Times New Roman"/>
          <w:sz w:val="28"/>
        </w:rPr>
        <w:t xml:space="preserve">Алгоритм интеллектуальной поддержки для оценки параметра степени тяжести дорожного происшествия </w:t>
      </w:r>
      <w:r>
        <w:rPr>
          <w:rFonts w:ascii="Times New Roman" w:hAnsi="Times New Roman"/>
          <w:sz w:val="28"/>
        </w:rPr>
        <w:t xml:space="preserve">(далее Система). Данная система предназначена для работы в КБ для проектирования ВАТС. Система используется для анализа параметров степени тяжести ДТП с целью последующего использования для проектирования наиболее устойчивых к известным уязвимостям, ВАТС. </w:t>
      </w:r>
    </w:p>
    <w:p w14:paraId="2B000000">
      <w:pPr>
        <w:pStyle w:val="Style_2"/>
        <w:ind/>
        <w:jc w:val="center"/>
        <w:rPr>
          <w:b w:val="1"/>
          <w:sz w:val="28"/>
        </w:rPr>
      </w:pPr>
      <w:r>
        <w:br w:type="page"/>
      </w:r>
    </w:p>
    <w:p w14:paraId="2C000000">
      <w:bookmarkStart w:id="1" w:name="__RefHeading___3"/>
      <w:bookmarkEnd w:id="1"/>
      <w:pPr>
        <w:pStyle w:val="Style_6"/>
        <w:rPr>
          <w:b w:val="0"/>
        </w:rPr>
      </w:pPr>
      <w:r>
        <w:rPr>
          <w:b w:val="0"/>
        </w:rPr>
        <w:t>1. Описание системы и надсистемы</w:t>
      </w:r>
    </w:p>
    <w:p w14:paraId="2D000000">
      <w:pPr>
        <w:pStyle w:val="Style_2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Система - </w:t>
      </w:r>
      <w:r>
        <w:rPr>
          <w:rFonts w:ascii="Times New Roman" w:hAnsi="Times New Roman"/>
        </w:rPr>
        <w:t>программное средство статистического анализа и Байесовская сеть с функционалом предиктивного анализа параметра степени тяжести дорожного происшествия</w:t>
      </w:r>
    </w:p>
    <w:p w14:paraId="2E000000">
      <w:pPr>
        <w:pStyle w:val="Style_2"/>
      </w:pPr>
    </w:p>
    <w:p w14:paraId="2F000000">
      <w:bookmarkStart w:id="2" w:name="__RefHeading___4"/>
      <w:bookmarkEnd w:id="2"/>
      <w:pPr>
        <w:pStyle w:val="Style_7"/>
      </w:pPr>
      <w:r>
        <w:t>1.1. Надсистема</w:t>
      </w:r>
    </w:p>
    <w:p w14:paraId="30000000">
      <w:pPr>
        <w:pStyle w:val="Style_2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Надсистема: Предприятие, занимающееся функциональной безопасностью в процессе разработки ВАТС</w:t>
      </w:r>
    </w:p>
    <w:p w14:paraId="31000000">
      <w:bookmarkStart w:id="3" w:name="__RefHeading___5"/>
      <w:bookmarkEnd w:id="3"/>
      <w:pPr>
        <w:pStyle w:val="Style_7"/>
      </w:pPr>
      <w:r>
        <w:t>1.2. Миссия надсистемы</w:t>
      </w:r>
    </w:p>
    <w:p w14:paraId="32000000">
      <w:pPr>
        <w:pStyle w:val="Style_2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Миссия предприятия: повысить уровень безопасности разрабатываемого ТС</w:t>
      </w:r>
    </w:p>
    <w:p w14:paraId="33000000">
      <w:pPr>
        <w:pStyle w:val="Style_2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Показатели результативности:</w:t>
      </w:r>
    </w:p>
    <w:p w14:paraId="34000000">
      <w:pPr>
        <w:pStyle w:val="Style_2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MOS.1. </w:t>
      </w:r>
      <w:r>
        <w:rPr>
          <w:rFonts w:ascii="Times New Roman" w:hAnsi="Times New Roman"/>
        </w:rPr>
        <w:t>Полнота безопасности для разрабатываемых систем</w:t>
      </w:r>
    </w:p>
    <w:p w14:paraId="35000000">
      <w:pPr>
        <w:pStyle w:val="Style_2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MOS.2. </w:t>
      </w:r>
      <w:r>
        <w:rPr>
          <w:rFonts w:ascii="Times New Roman" w:hAnsi="Times New Roman"/>
        </w:rPr>
        <w:t>Трудозатраты на разработку безопасной системы</w:t>
      </w:r>
    </w:p>
    <w:p w14:paraId="36000000">
      <w:pPr>
        <w:pStyle w:val="Style_2"/>
        <w:ind w:firstLine="709"/>
        <w:rPr>
          <w:rFonts w:ascii="Times New Roman" w:hAnsi="Times New Roman"/>
        </w:rPr>
      </w:pPr>
    </w:p>
    <w:p w14:paraId="37000000">
      <w:bookmarkStart w:id="4" w:name="__RefHeading___6"/>
      <w:bookmarkEnd w:id="4"/>
      <w:pPr>
        <w:pStyle w:val="Style_6"/>
        <w:rPr>
          <w:b w:val="0"/>
        </w:rPr>
      </w:pPr>
      <w:r>
        <w:rPr>
          <w:b w:val="0"/>
        </w:rPr>
        <w:t>2.Формулировка проблем и ЗС</w:t>
      </w:r>
    </w:p>
    <w:p w14:paraId="38000000">
      <w:bookmarkStart w:id="5" w:name="__RefHeading___7"/>
      <w:bookmarkEnd w:id="5"/>
      <w:pPr>
        <w:pStyle w:val="Style_7"/>
      </w:pPr>
      <w:r>
        <w:t>2.1 Заинтересованные стороны</w:t>
      </w:r>
    </w:p>
    <w:p w14:paraId="39000000">
      <w:pPr>
        <w:spacing w:line="360" w:lineRule="auto"/>
        <w:ind w:firstLine="0" w:left="6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Таблица 2.1 – Заинтересованные стороны</w:t>
      </w:r>
    </w:p>
    <w:tbl>
      <w:tblPr>
        <w:tblW w:type="auto" w:w="0"/>
        <w:tblInd w:type="dxa" w:w="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826"/>
        <w:gridCol w:w="5027"/>
        <w:gridCol w:w="3614"/>
      </w:tblGrid>
      <w:tr>
        <w:tc>
          <w:tcPr>
            <w:tcW w:type="dxa" w:w="8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pPr>
              <w:spacing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ID</w:t>
            </w:r>
          </w:p>
        </w:tc>
        <w:tc>
          <w:tcPr>
            <w:tcW w:type="dxa" w:w="50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spacing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Заинтересованные стороны</w:t>
            </w:r>
          </w:p>
        </w:tc>
        <w:tc>
          <w:tcPr>
            <w:tcW w:type="dxa" w:w="36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spacing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Роль</w:t>
            </w:r>
          </w:p>
        </w:tc>
      </w:tr>
      <w:tr>
        <w:trPr>
          <w:trHeight w:hRule="atLeast" w:val="248"/>
        </w:trPr>
        <w:tc>
          <w:tcPr>
            <w:tcW w:type="dxa" w:w="8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spacing w:line="360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ST1</w:t>
            </w:r>
          </w:p>
        </w:tc>
        <w:tc>
          <w:tcPr>
            <w:tcW w:type="dxa" w:w="50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spacing w:line="360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«РТУ МИРЭА»</w:t>
            </w:r>
          </w:p>
        </w:tc>
        <w:tc>
          <w:tcPr>
            <w:tcW w:type="dxa" w:w="36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spacing w:line="36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разработчик, производитель</w:t>
            </w:r>
          </w:p>
        </w:tc>
      </w:tr>
      <w:tr>
        <w:tc>
          <w:tcPr>
            <w:tcW w:type="dxa" w:w="8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spacing w:line="360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ST2</w:t>
            </w:r>
          </w:p>
        </w:tc>
        <w:tc>
          <w:tcPr>
            <w:tcW w:type="dxa" w:w="50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spacing w:line="36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Отдел функциональной безопасности</w:t>
            </w:r>
          </w:p>
        </w:tc>
        <w:tc>
          <w:tcPr>
            <w:tcW w:type="dxa" w:w="36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spacing w:line="36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пользователь, заказчик</w:t>
            </w:r>
          </w:p>
        </w:tc>
      </w:tr>
    </w:tbl>
    <w:p w14:paraId="43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44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создания системы является потребность заказчика в анализе и выявлении параметров степени тяжести ДТП при анализе рисков HARA в </w:t>
      </w:r>
      <w:r>
        <w:rPr>
          <w:rFonts w:ascii="Times New Roman" w:hAnsi="Times New Roman"/>
          <w:sz w:val="28"/>
        </w:rPr>
        <w:t>сжатые сроки и с необходимой точностью</w:t>
      </w:r>
    </w:p>
    <w:p w14:paraId="45000000">
      <w:bookmarkStart w:id="6" w:name="__RefHeading___8"/>
      <w:bookmarkEnd w:id="6"/>
      <w:pPr>
        <w:pStyle w:val="Style_7"/>
      </w:pPr>
      <w:r>
        <w:t>2.2. Формулировка проблем</w:t>
      </w:r>
    </w:p>
    <w:p w14:paraId="46000000">
      <w:pPr>
        <w:spacing w:after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Проблемы:</w:t>
      </w:r>
    </w:p>
    <w:p w14:paraId="47000000">
      <w:pPr>
        <w:spacing w:after="0"/>
        <w:ind/>
        <w:jc w:val="both"/>
        <w:rPr>
          <w:rFonts w:ascii="Times New Roman" w:hAnsi="Times New Roman"/>
          <w:sz w:val="28"/>
        </w:rPr>
      </w:pPr>
    </w:p>
    <w:p w14:paraId="48000000">
      <w:pPr>
        <w:spacing w:after="0" w:line="240" w:lineRule="auto"/>
        <w:ind w:firstLine="0" w:left="0"/>
        <w:contextualSpacing w:val="1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Pr.1 Проведение оценки параметров степени тяжести ДТП вручную занимает много времени</w:t>
      </w:r>
    </w:p>
    <w:p w14:paraId="49000000">
      <w:pPr>
        <w:spacing w:after="0" w:line="240" w:lineRule="auto"/>
        <w:ind w:firstLine="0" w:left="0"/>
        <w:contextualSpacing w:val="1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Pr.2 Проведение оценки параметров степени тяжести ДТП вручную не отвечает заданным стандартам качества</w:t>
      </w:r>
    </w:p>
    <w:p w14:paraId="4A000000">
      <w:pPr>
        <w:spacing w:after="0" w:line="240" w:lineRule="auto"/>
        <w:ind w:hanging="18" w:left="0"/>
        <w:contextualSpacing w:val="1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Pr.3 Описание сценариев ДТП занимает много времени</w:t>
      </w:r>
    </w:p>
    <w:p w14:paraId="4B000000"/>
    <w:p w14:paraId="4C000000">
      <w:pPr>
        <w:pStyle w:val="Style_6"/>
        <w:rPr>
          <w:b w:val="0"/>
        </w:rPr>
      </w:pPr>
    </w:p>
    <w:p w14:paraId="4D000000">
      <w:bookmarkStart w:id="7" w:name="__RefHeading___9"/>
      <w:bookmarkEnd w:id="7"/>
      <w:pPr>
        <w:pStyle w:val="Style_6"/>
        <w:rPr>
          <w:b w:val="0"/>
        </w:rPr>
      </w:pPr>
      <w:r>
        <w:rPr>
          <w:b w:val="0"/>
        </w:rPr>
        <w:t>3. Требования</w:t>
      </w:r>
    </w:p>
    <w:p w14:paraId="4E000000"/>
    <w:p w14:paraId="4F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3.1 – Ограничения на проектирование</w:t>
      </w:r>
    </w:p>
    <w:p w14:paraId="50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1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2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3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4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5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быть реализована на языке </w:t>
            </w:r>
            <w:r>
              <w:rPr>
                <w:rFonts w:ascii="Times New Roman" w:hAnsi="Times New Roman"/>
                <w:sz w:val="24"/>
              </w:rPr>
              <w:t>Python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6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7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8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быть реализована с применением Байесовского вывода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9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A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B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Стоимость системы должна быть не более 150000 рублей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C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5D000000"/>
    <w:p w14:paraId="5E000000">
      <w:pPr>
        <w:spacing w:after="0"/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3.2 – </w:t>
      </w:r>
      <w:r>
        <w:rPr>
          <w:rFonts w:ascii="Times New Roman" w:hAnsi="Times New Roman"/>
          <w:sz w:val="28"/>
        </w:rPr>
        <w:t>Функциональные требования</w:t>
      </w:r>
    </w:p>
    <w:p w14:paraId="5F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0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1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2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3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4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по запросу оценивать параметры степени тяжести ДТП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5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6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7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по запросу формировать список сценариев в соответствии с пользовательским запросом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8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9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A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</w:t>
            </w:r>
            <w:r>
              <w:rPr>
                <w:rFonts w:ascii="Times New Roman" w:hAnsi="Times New Roman"/>
                <w:sz w:val="24"/>
              </w:rPr>
              <w:t>рассчитывать точность и время анализа параметров степени тяжести ДТП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B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C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SFR4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D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уметь формировать отчёт на основе оценки параметров степени тяжести ДТП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E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F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SFR5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0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загружать </w:t>
            </w:r>
            <w:r>
              <w:rPr>
                <w:rFonts w:ascii="Times New Roman" w:hAnsi="Times New Roman"/>
                <w:sz w:val="24"/>
              </w:rPr>
              <w:t xml:space="preserve">входные данные в форматах </w:t>
            </w:r>
            <w:r>
              <w:rPr>
                <w:rFonts w:ascii="Times New Roman" w:hAnsi="Times New Roman"/>
                <w:sz w:val="24"/>
              </w:rPr>
              <w:t>word</w:t>
            </w:r>
            <w:r>
              <w:rPr>
                <w:rFonts w:ascii="Times New Roman" w:hAnsi="Times New Roman"/>
                <w:sz w:val="24"/>
              </w:rPr>
              <w:t xml:space="preserve"> ИЛИ </w:t>
            </w:r>
            <w:r>
              <w:rPr>
                <w:rFonts w:ascii="Times New Roman" w:hAnsi="Times New Roman"/>
                <w:sz w:val="24"/>
              </w:rPr>
              <w:t>csv ИЛИ xlcx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1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72000000"/>
    <w:p w14:paraId="73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3.3 – Требования к функциональным характеристикам</w:t>
      </w:r>
    </w:p>
    <w:p w14:paraId="74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5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6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7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8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SFC1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9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анализировать параметры степени тяжести ДТП менее чем за 2 минуты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A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B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SFC2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C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анализировать параметры степени тяжести ДТП с точностью не менее 80%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D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E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SFC3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F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анализировать риски для параметров степени тяжести менее чем за 1 минуту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0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81000000"/>
    <w:p w14:paraId="82000000">
      <w:pPr>
        <w:spacing w:after="0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Таблица 3.4 - Требования к </w:t>
      </w:r>
      <w:r>
        <w:rPr>
          <w:rFonts w:ascii="Times New Roman" w:hAnsi="Times New Roman"/>
          <w:sz w:val="28"/>
        </w:rPr>
        <w:t>данным</w:t>
      </w:r>
    </w:p>
    <w:p w14:paraId="83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4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5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6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7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SSD1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8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Отчёт анализа должен содержать предсказанную оценку параметра степени тяжести ДТП и сценарии под пользовательский запрос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9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A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SSD2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B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 анализа должен содержать точность анализа и время, которое система потратила на анализ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C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D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SSD3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E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Отчёт анализа должен быть представлен в форматах </w:t>
            </w:r>
            <w:r>
              <w:rPr>
                <w:rFonts w:ascii="Times New Roman" w:hAnsi="Times New Roman"/>
                <w:sz w:val="24"/>
              </w:rPr>
              <w:t>pdf</w:t>
            </w:r>
            <w:r>
              <w:rPr>
                <w:rFonts w:ascii="Times New Roman" w:hAnsi="Times New Roman"/>
                <w:sz w:val="24"/>
              </w:rPr>
              <w:t xml:space="preserve"> ИЛИ </w:t>
            </w:r>
            <w:r>
              <w:rPr>
                <w:rFonts w:ascii="Times New Roman" w:hAnsi="Times New Roman"/>
                <w:sz w:val="24"/>
              </w:rPr>
              <w:t>word ИЛИ xclx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8F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90000000"/>
    <w:p w14:paraId="91000000">
      <w:pPr>
        <w:spacing w:after="0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Таблица 3.5 - Требования к качеству</w:t>
      </w:r>
    </w:p>
    <w:p w14:paraId="92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3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4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5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6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7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Помехи, сбои или прекращение электропитания не должны приводить к </w:t>
            </w:r>
            <w:r>
              <w:rPr>
                <w:rFonts w:ascii="Times New Roman" w:hAnsi="Times New Roman"/>
                <w:sz w:val="24"/>
              </w:rPr>
              <w:t>потере данных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8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9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A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Некорректные действия пользователей не должны нарушать работу ПК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B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C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D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должно работать безотказно 95% времени из 95 дней в году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E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9F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SQR4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0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Время на перезапуск после аварийной остановки работы ПО должно </w:t>
            </w:r>
            <w:r>
              <w:rPr>
                <w:rFonts w:ascii="Times New Roman" w:hAnsi="Times New Roman"/>
                <w:sz w:val="24"/>
              </w:rPr>
              <w:t>составлять не более 1 часа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1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</w:tbl>
    <w:p w14:paraId="A2000000"/>
    <w:p w14:paraId="A3000000">
      <w:pPr>
        <w:spacing w:after="0" w:before="240" w:line="360" w:lineRule="auto"/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3.6 – Требования к условиям функционирования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4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5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6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7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8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работать на операционной системе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Linux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9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A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B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работать на версии </w:t>
            </w:r>
            <w:r>
              <w:rPr>
                <w:rFonts w:ascii="Times New Roman" w:hAnsi="Times New Roman"/>
                <w:sz w:val="24"/>
              </w:rPr>
              <w:t>Python</w:t>
            </w:r>
            <w:r>
              <w:rPr>
                <w:rFonts w:ascii="Times New Roman" w:hAnsi="Times New Roman"/>
                <w:sz w:val="24"/>
              </w:rPr>
              <w:t xml:space="preserve"> не ниже 3.9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AC000000">
            <w:pPr>
              <w:pStyle w:val="Style_2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AD000000"/>
    <w:p w14:paraId="AE000000">
      <w:bookmarkStart w:id="8" w:name="__RefHeading___10"/>
      <w:bookmarkEnd w:id="8"/>
      <w:pPr>
        <w:pStyle w:val="Style_6"/>
        <w:rPr>
          <w:b w:val="0"/>
        </w:rPr>
      </w:pPr>
      <w:r>
        <w:rPr>
          <w:b w:val="0"/>
        </w:rPr>
        <w:t>4. Показатели результативности</w:t>
      </w:r>
    </w:p>
    <w:p w14:paraId="AF000000">
      <w:r>
        <w:drawing>
          <wp:inline>
            <wp:extent cx="6162674" cy="3495673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162674" cy="34956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0000000"/>
    <w:p w14:paraId="B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 Показатели результативности в виде дерева</w:t>
      </w:r>
    </w:p>
    <w:p w14:paraId="B2000000">
      <w:bookmarkStart w:id="9" w:name="__RefHeading___11"/>
      <w:bookmarkEnd w:id="9"/>
      <w:pPr>
        <w:pStyle w:val="Style_6"/>
        <w:rPr>
          <w:b w:val="0"/>
        </w:rPr>
      </w:pPr>
      <w:r>
        <w:rPr>
          <w:b w:val="0"/>
        </w:rPr>
        <w:t>5. Варианты преобразования деятельности</w:t>
      </w:r>
    </w:p>
    <w:p w14:paraId="B3000000">
      <w:pPr>
        <w:ind w:firstLine="709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Задача анализа альтернативных вариантов преобразования – снижение трудозатрат на проведение HARA-анализа</w:t>
      </w:r>
    </w:p>
    <w:p w14:paraId="B4000000"/>
    <w:p w14:paraId="B5000000">
      <w:pPr>
        <w:rPr>
          <w:rFonts w:ascii="Times New Roman" w:hAnsi="Times New Roman"/>
          <w:sz w:val="28"/>
        </w:rPr>
      </w:pPr>
    </w:p>
    <w:p w14:paraId="B6000000">
      <w:pPr>
        <w:rPr>
          <w:rFonts w:ascii="Times New Roman" w:hAnsi="Times New Roman"/>
          <w:sz w:val="28"/>
        </w:rPr>
      </w:pPr>
      <w:r>
        <w:rPr>
          <w:b w:val="1"/>
          <w:sz w:val="28"/>
        </w:rPr>
        <w:t>1 вариант (текущий)</w:t>
      </w:r>
    </w:p>
    <w:p w14:paraId="B7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Вручную. </w:t>
      </w:r>
    </w:p>
    <w:p w14:paraId="B8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Effectiveness: Времязатраты соответствуют текущим. </w:t>
      </w:r>
      <w:r>
        <w:rPr>
          <w:rFonts w:ascii="Times New Roman" w:hAnsi="Times New Roman"/>
          <w:sz w:val="28"/>
        </w:rPr>
        <w:t>Может быть увеличено с увеличением количества аналитиков, работающих над задачей</w:t>
      </w:r>
    </w:p>
    <w:p w14:paraId="B9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Efficiency: Количество оцененнных ДТП соответствует текущим значениям. Может быть увеличено с увеличением количества аналитиков, работающих над задачей</w:t>
      </w:r>
    </w:p>
    <w:p w14:paraId="BA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Comfort: идёт работа с любым видом табличных или текстовых или графических или аудио данных, пригодных для восприятия и анализа</w:t>
      </w:r>
    </w:p>
    <w:p w14:paraId="BB000000">
      <w:pPr>
        <w:rPr>
          <w:rFonts w:ascii="Times New Roman" w:hAnsi="Times New Roman"/>
          <w:sz w:val="28"/>
        </w:rPr>
      </w:pPr>
    </w:p>
    <w:p w14:paraId="BC000000">
      <w:pPr>
        <w:rPr>
          <w:rFonts w:ascii="Times New Roman" w:hAnsi="Times New Roman"/>
          <w:sz w:val="28"/>
        </w:rPr>
      </w:pPr>
      <w:r>
        <w:rPr>
          <w:b w:val="1"/>
          <w:sz w:val="28"/>
        </w:rPr>
        <w:t>2 вариант</w:t>
      </w:r>
    </w:p>
    <w:p w14:paraId="BD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Автоматизированный процесс, где часть деятельности выполняет специалист ФБ, часть ПО</w:t>
      </w:r>
    </w:p>
    <w:p w14:paraId="BE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Effectiveness: Времязатраты ниже текущих за счёт того, что часть деятельности выполняет ПО. </w:t>
      </w:r>
    </w:p>
    <w:p w14:paraId="BF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Efficiency: Количество оцененных ДТП выше текущих, качество примерно на том же уровне или немного выше за счёт исключения из оценки человеческого фактора. Возможны ошибки на уровне обучения ИИ.</w:t>
      </w:r>
    </w:p>
    <w:p w14:paraId="C0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Comfort: ПО принимает только определённые форматы данных и может выдать наружу только определённые форматы данных</w:t>
      </w:r>
    </w:p>
    <w:p w14:paraId="C1000000">
      <w:pPr>
        <w:rPr>
          <w:rFonts w:ascii="Times New Roman" w:hAnsi="Times New Roman"/>
          <w:sz w:val="28"/>
        </w:rPr>
      </w:pPr>
    </w:p>
    <w:p w14:paraId="C2000000">
      <w:pPr>
        <w:rPr>
          <w:rFonts w:ascii="Times New Roman" w:hAnsi="Times New Roman"/>
          <w:sz w:val="28"/>
        </w:rPr>
      </w:pPr>
    </w:p>
    <w:p w14:paraId="C3000000">
      <w:pPr>
        <w:rPr>
          <w:rFonts w:ascii="Times New Roman" w:hAnsi="Times New Roman"/>
          <w:sz w:val="28"/>
        </w:rPr>
      </w:pPr>
      <w:r>
        <w:rPr>
          <w:b w:val="1"/>
          <w:sz w:val="28"/>
        </w:rPr>
        <w:t>3 вариант</w:t>
      </w:r>
    </w:p>
    <w:p w14:paraId="C4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Автоматический процесс, где на вход ПО поступают данные от других ИС, ПО передаёт данные либо другим ИС, либо специалисту ФБ</w:t>
      </w:r>
    </w:p>
    <w:p w14:paraId="C5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Effectiveness: </w:t>
      </w:r>
      <w:r>
        <w:rPr>
          <w:rFonts w:ascii="Times New Roman" w:hAnsi="Times New Roman"/>
          <w:sz w:val="28"/>
        </w:rPr>
        <w:t>Времязатраты существенно ниже текущих за счёт того, всю  деятельность выполняет ПО.</w:t>
      </w:r>
    </w:p>
    <w:p w14:paraId="C6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Efficiency: </w:t>
      </w:r>
      <w:r>
        <w:rPr>
          <w:rFonts w:ascii="Times New Roman" w:hAnsi="Times New Roman"/>
          <w:sz w:val="28"/>
        </w:rPr>
        <w:t>Количество оцененных ДТП выше текущих, качество примерно на том же уровне или немного выше за счёт исключения из оценки человеческого фактора. Возможны ошибки на уровне обучения ИИ</w:t>
      </w:r>
    </w:p>
    <w:p w14:paraId="C700000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Comfort: </w:t>
      </w:r>
      <w:r>
        <w:rPr>
          <w:rFonts w:ascii="Times New Roman" w:hAnsi="Times New Roman"/>
          <w:sz w:val="28"/>
        </w:rPr>
        <w:t>ПО принимает только определённые форматы данных и может выдать наружу только определённые форматы данных</w:t>
      </w:r>
    </w:p>
    <w:p w14:paraId="C8000000">
      <w:pPr>
        <w:rPr>
          <w:rFonts w:ascii="Times New Roman" w:hAnsi="Times New Roman"/>
          <w:sz w:val="28"/>
        </w:rPr>
      </w:pPr>
    </w:p>
    <w:p w14:paraId="C9000000"/>
    <w:p w14:paraId="CA000000">
      <w:bookmarkStart w:id="10" w:name="__RefHeading___12"/>
      <w:bookmarkEnd w:id="10"/>
      <w:pPr>
        <w:pStyle w:val="Style_6"/>
        <w:rPr>
          <w:b w:val="0"/>
        </w:rPr>
      </w:pPr>
      <w:r>
        <w:rPr>
          <w:b w:val="0"/>
        </w:rPr>
        <w:t>6. Критерии сравнения вариантов преобразования деятельности</w:t>
      </w:r>
    </w:p>
    <w:p w14:paraId="CB000000"/>
    <w:p w14:paraId="CC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 xml:space="preserve">Название </w:t>
      </w:r>
      <w:r>
        <w:rPr>
          <w:rStyle w:val="Style_2_ch"/>
          <w:rFonts w:ascii="Times New Roman" w:hAnsi="Times New Roman"/>
          <w:sz w:val="28"/>
        </w:rPr>
        <w:t>Времязатраты на анализ</w:t>
      </w:r>
    </w:p>
    <w:p w14:paraId="CD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Описание: Количество времени, затраченного на HARA-анализ</w:t>
      </w:r>
    </w:p>
    <w:p w14:paraId="CE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Степень важности: 25</w:t>
      </w:r>
    </w:p>
    <w:p w14:paraId="CF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Метод</w:t>
      </w:r>
      <w:r>
        <w:rPr>
          <w:rStyle w:val="Style_2_ch"/>
          <w:rFonts w:ascii="Times New Roman" w:hAnsi="Times New Roman"/>
          <w:sz w:val="28"/>
        </w:rPr>
        <w:t xml:space="preserve"> измерения: </w:t>
      </w:r>
      <w:r>
        <w:rPr>
          <w:rFonts w:ascii="Times New Roman" w:hAnsi="Times New Roman"/>
          <w:sz w:val="28"/>
        </w:rPr>
        <w:t>сравнительный анализ</w:t>
      </w:r>
    </w:p>
    <w:p w14:paraId="D0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Единицы измерений: секунды</w:t>
      </w:r>
    </w:p>
    <w:p w14:paraId="D1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Входные данные (с допустимым и ожидаемым интервалом): 60-120</w:t>
      </w:r>
    </w:p>
    <w:p w14:paraId="D2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Выходные данные:</w:t>
      </w:r>
    </w:p>
    <w:p w14:paraId="D3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Функция оценки (вид и параметры):</w:t>
      </w:r>
    </w:p>
    <w:p w14:paraId="D4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90004" cy="5244626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390004" cy="52446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5000000">
      <w:pPr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 xml:space="preserve">Рис. 2 Функция оценки </w:t>
      </w:r>
      <w:r>
        <w:rPr>
          <w:rFonts w:ascii="Times New Roman" w:hAnsi="Times New Roman"/>
          <w:sz w:val="28"/>
        </w:rPr>
        <w:t>для критерия «Времязатраты на анализ»</w:t>
      </w:r>
    </w:p>
    <w:p w14:paraId="D6000000">
      <w:pPr>
        <w:ind w:firstLine="0" w:left="0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 xml:space="preserve">Отсылка к </w:t>
      </w:r>
      <w:r>
        <w:rPr>
          <w:rStyle w:val="Style_2_ch"/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>SFC1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4"/>
        </w:rPr>
        <w:t>SFC</w:t>
      </w:r>
      <w:r>
        <w:rPr>
          <w:rFonts w:ascii="Times New Roman" w:hAnsi="Times New Roman"/>
          <w:sz w:val="28"/>
        </w:rPr>
        <w:t>3</w:t>
      </w:r>
    </w:p>
    <w:p w14:paraId="D7000000">
      <w:pPr>
        <w:rPr>
          <w:rFonts w:ascii="Times New Roman" w:hAnsi="Times New Roman"/>
          <w:sz w:val="28"/>
        </w:rPr>
      </w:pPr>
    </w:p>
    <w:p w14:paraId="D8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Название </w:t>
      </w:r>
      <w:r>
        <w:rPr>
          <w:rStyle w:val="Style_2_ch"/>
          <w:rFonts w:ascii="Times New Roman" w:hAnsi="Times New Roman"/>
          <w:sz w:val="28"/>
        </w:rPr>
        <w:t>Качество оценки степени тяжести ДТП</w:t>
      </w:r>
    </w:p>
    <w:p w14:paraId="D9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точность оценки степени тяжести ДТП</w:t>
      </w:r>
    </w:p>
    <w:p w14:paraId="DA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Степень важности: 30</w:t>
      </w:r>
    </w:p>
    <w:p w14:paraId="DB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</w:rPr>
        <w:t xml:space="preserve"> измерения: сравнительный анализ</w:t>
      </w:r>
    </w:p>
    <w:p w14:paraId="DC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Единицы измерений: проценты корректной оценки</w:t>
      </w:r>
    </w:p>
    <w:p w14:paraId="DD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(с допустимым и ожидаемым интервалом): 75-80%</w:t>
      </w:r>
    </w:p>
    <w:p w14:paraId="DE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14:paraId="DF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оценки (вид и параметры):</w:t>
      </w:r>
    </w:p>
    <w:p w14:paraId="E0000000">
      <w:pPr>
        <w:pStyle w:val="Style_2"/>
        <w:rPr>
          <w:rFonts w:ascii="Times New Roman" w:hAnsi="Times New Roman"/>
          <w:sz w:val="28"/>
        </w:rPr>
      </w:pPr>
      <w:r>
        <w:drawing>
          <wp:inline>
            <wp:extent cx="5849169" cy="4915588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849169" cy="49155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1000000">
      <w:pPr>
        <w:pStyle w:val="Style_2"/>
        <w:ind/>
        <w:jc w:val="center"/>
      </w:pPr>
      <w:r>
        <w:rPr>
          <w:rFonts w:ascii="Times New Roman" w:hAnsi="Times New Roman"/>
        </w:rPr>
        <w:t xml:space="preserve">Рис. 3 Функция оценки </w:t>
      </w:r>
      <w:r>
        <w:rPr>
          <w:rFonts w:ascii="Times New Roman" w:hAnsi="Times New Roman"/>
          <w:sz w:val="28"/>
        </w:rPr>
        <w:t>для критерия «</w:t>
      </w:r>
      <w:r>
        <w:rPr>
          <w:rStyle w:val="Style_2_ch"/>
          <w:rFonts w:ascii="Times New Roman" w:hAnsi="Times New Roman"/>
          <w:sz w:val="28"/>
        </w:rPr>
        <w:t>Качество оценки степени тяжести ДТП</w:t>
      </w:r>
      <w:r>
        <w:rPr>
          <w:rFonts w:ascii="Times New Roman" w:hAnsi="Times New Roman"/>
          <w:sz w:val="28"/>
        </w:rPr>
        <w:t>»</w:t>
      </w:r>
    </w:p>
    <w:p w14:paraId="E2000000">
      <w:pPr>
        <w:pStyle w:val="Style_2"/>
      </w:pPr>
      <w:r>
        <w:rPr>
          <w:rFonts w:ascii="Times New Roman" w:hAnsi="Times New Roman"/>
          <w:sz w:val="28"/>
        </w:rPr>
        <w:t xml:space="preserve">Отсылка к </w:t>
      </w:r>
      <w:r>
        <w:rPr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>SFC2</w:t>
      </w:r>
    </w:p>
    <w:p w14:paraId="E3000000">
      <w:pPr>
        <w:pStyle w:val="Style_2"/>
      </w:pPr>
    </w:p>
    <w:p w14:paraId="E4000000">
      <w:pPr>
        <w:pStyle w:val="Style_2"/>
      </w:pPr>
    </w:p>
    <w:p w14:paraId="E5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Style w:val="Style_2_ch"/>
          <w:rFonts w:ascii="Times New Roman" w:hAnsi="Times New Roman"/>
          <w:sz w:val="28"/>
        </w:rPr>
        <w:t xml:space="preserve"> </w:t>
      </w:r>
      <w:r>
        <w:rPr>
          <w:rStyle w:val="Style_2_ch"/>
          <w:rFonts w:ascii="Times New Roman" w:hAnsi="Times New Roman"/>
          <w:sz w:val="28"/>
        </w:rPr>
        <w:t>Цена обеспечения</w:t>
      </w:r>
    </w:p>
    <w:p w14:paraId="E6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сумма установки + сумма эксплуатации</w:t>
      </w:r>
    </w:p>
    <w:p w14:paraId="E7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Степень важности: 20</w:t>
      </w:r>
    </w:p>
    <w:p w14:paraId="E8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</w:rPr>
        <w:t xml:space="preserve"> измерения: </w:t>
      </w:r>
      <w:r>
        <w:rPr>
          <w:rFonts w:ascii="Times New Roman" w:hAnsi="Times New Roman"/>
          <w:sz w:val="28"/>
        </w:rPr>
        <w:t>сумма установки + сумма эксплуатации</w:t>
      </w:r>
    </w:p>
    <w:p w14:paraId="E9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Единицы измерений: рубли</w:t>
      </w:r>
    </w:p>
    <w:p w14:paraId="EA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(с допустимым и ожидаемым интервалом): 80 000 – 150 000</w:t>
      </w:r>
    </w:p>
    <w:p w14:paraId="EB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14:paraId="EC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оценки (вид и параметры):</w:t>
      </w:r>
    </w:p>
    <w:p w14:paraId="ED000000">
      <w:pPr>
        <w:pStyle w:val="Style_2"/>
        <w:rPr>
          <w:rFonts w:ascii="Times New Roman" w:hAnsi="Times New Roman"/>
          <w:sz w:val="28"/>
        </w:rPr>
      </w:pPr>
      <w:r>
        <w:drawing>
          <wp:inline>
            <wp:extent cx="5982538" cy="4877483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82538" cy="48774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E000000">
      <w:pPr>
        <w:pStyle w:val="Style_2"/>
        <w:ind/>
        <w:jc w:val="center"/>
      </w:pPr>
      <w:r>
        <w:rPr>
          <w:rFonts w:ascii="Times New Roman" w:hAnsi="Times New Roman"/>
        </w:rPr>
        <w:t xml:space="preserve">Рис. 4 Функция оценки </w:t>
      </w:r>
      <w:r>
        <w:rPr>
          <w:rFonts w:ascii="Times New Roman" w:hAnsi="Times New Roman"/>
          <w:sz w:val="28"/>
        </w:rPr>
        <w:t>для критерия «</w:t>
      </w:r>
      <w:r>
        <w:rPr>
          <w:rStyle w:val="Style_2_ch"/>
          <w:rFonts w:ascii="Times New Roman" w:hAnsi="Times New Roman"/>
          <w:sz w:val="28"/>
        </w:rPr>
        <w:t>Цена обеспечения</w:t>
      </w:r>
      <w:r>
        <w:rPr>
          <w:rFonts w:ascii="Times New Roman" w:hAnsi="Times New Roman"/>
          <w:sz w:val="28"/>
        </w:rPr>
        <w:t>»</w:t>
      </w:r>
    </w:p>
    <w:p w14:paraId="EF000000">
      <w:pPr>
        <w:pStyle w:val="Style_2"/>
      </w:pPr>
      <w:r>
        <w:rPr>
          <w:rFonts w:ascii="Times New Roman" w:hAnsi="Times New Roman"/>
          <w:sz w:val="28"/>
        </w:rPr>
        <w:t xml:space="preserve">Отсылка к </w:t>
      </w:r>
      <w:r>
        <w:rPr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>SPR3</w:t>
      </w:r>
    </w:p>
    <w:p w14:paraId="F0000000">
      <w:pPr>
        <w:pStyle w:val="Style_2"/>
        <w:rPr>
          <w:rFonts w:ascii="Times New Roman" w:hAnsi="Times New Roman"/>
          <w:sz w:val="28"/>
        </w:rPr>
      </w:pPr>
    </w:p>
    <w:p w14:paraId="F1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Название </w:t>
      </w:r>
      <w:r>
        <w:rPr>
          <w:rStyle w:val="Style_2_ch"/>
          <w:rFonts w:ascii="Times New Roman" w:hAnsi="Times New Roman"/>
          <w:sz w:val="28"/>
        </w:rPr>
        <w:t>Удобство интерфейса</w:t>
      </w:r>
    </w:p>
    <w:p w14:paraId="F2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количество доступных форматов для ввода/вывода информации</w:t>
      </w:r>
    </w:p>
    <w:p w14:paraId="F3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Степень важности: 25</w:t>
      </w:r>
    </w:p>
    <w:p w14:paraId="F4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</w:rPr>
        <w:t xml:space="preserve"> измерения: экспертиза</w:t>
      </w:r>
    </w:p>
    <w:p w14:paraId="F5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Единицы измерений: штуки (форматов)</w:t>
      </w:r>
    </w:p>
    <w:p w14:paraId="F6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(с допустимым и ожидаемым интервалом): csv, word</w:t>
      </w:r>
    </w:p>
    <w:p w14:paraId="F7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 csv, word, xlsx</w:t>
      </w:r>
    </w:p>
    <w:p w14:paraId="F800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оценки (вид и параметры)</w:t>
      </w:r>
    </w:p>
    <w:p w14:paraId="F9000000">
      <w:pPr>
        <w:pStyle w:val="Style_2"/>
        <w:rPr>
          <w:rFonts w:ascii="Times New Roman" w:hAnsi="Times New Roman"/>
          <w:sz w:val="28"/>
        </w:rPr>
      </w:pPr>
      <w:r>
        <w:drawing>
          <wp:inline>
            <wp:extent cx="6020643" cy="4763167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020643" cy="47631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A000000">
      <w:pPr>
        <w:pStyle w:val="Style_2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Рис. 5 Функция оценки </w:t>
      </w:r>
      <w:r>
        <w:rPr>
          <w:rFonts w:ascii="Times New Roman" w:hAnsi="Times New Roman"/>
          <w:sz w:val="28"/>
        </w:rPr>
        <w:t>для критерия «</w:t>
      </w:r>
      <w:r>
        <w:rPr>
          <w:rFonts w:ascii="Times New Roman" w:hAnsi="Times New Roman"/>
          <w:sz w:val="28"/>
        </w:rPr>
        <w:t>Удобство интерфейса</w:t>
      </w:r>
      <w:r>
        <w:rPr>
          <w:rFonts w:ascii="Times New Roman" w:hAnsi="Times New Roman"/>
          <w:sz w:val="28"/>
        </w:rPr>
        <w:t>»</w:t>
      </w:r>
    </w:p>
    <w:p w14:paraId="FB000000">
      <w:pPr>
        <w:pStyle w:val="Style_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Отсылка к </w:t>
      </w:r>
      <w:r>
        <w:rPr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 xml:space="preserve">SFR5, </w:t>
      </w:r>
      <w:r>
        <w:rPr>
          <w:rFonts w:ascii="Times New Roman" w:hAnsi="Times New Roman"/>
          <w:sz w:val="24"/>
        </w:rPr>
        <w:t>SSD3</w:t>
      </w:r>
    </w:p>
    <w:p w14:paraId="FC000000">
      <w:pPr>
        <w:pStyle w:val="Style_2"/>
      </w:pPr>
    </w:p>
    <w:p w14:paraId="FD000000">
      <w:bookmarkStart w:id="11" w:name="__RefHeading___13"/>
      <w:bookmarkEnd w:id="11"/>
      <w:pPr>
        <w:pStyle w:val="Style_6"/>
        <w:rPr>
          <w:b w:val="0"/>
        </w:rPr>
      </w:pPr>
      <w:r>
        <w:rPr>
          <w:b w:val="0"/>
        </w:rPr>
        <w:t>7. Метод оценивания альтернатив</w:t>
      </w:r>
    </w:p>
    <w:p w14:paraId="FE000000">
      <w:pPr>
        <w:pStyle w:val="Style_2"/>
        <w:tabs>
          <w:tab w:leader="none" w:pos="1134" w:val="left"/>
        </w:tabs>
        <w:ind w:firstLine="709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 xml:space="preserve">В качестве метода оценивания альтернатив был выбран многокритериальный анализ по выявленным ранее критериям. </w:t>
      </w:r>
      <w:r>
        <w:rPr>
          <w:rStyle w:val="Style_2_ch"/>
          <w:rFonts w:ascii="Times New Roman" w:hAnsi="Times New Roman"/>
          <w:sz w:val="28"/>
        </w:rPr>
        <w:t>scoring</w:t>
      </w:r>
      <w:r>
        <w:rPr>
          <w:rStyle w:val="Style_2_ch"/>
          <w:rFonts w:ascii="Times New Roman" w:hAnsi="Times New Roman"/>
          <w:sz w:val="28"/>
        </w:rPr>
        <w:t xml:space="preserve"> </w:t>
      </w:r>
      <w:r>
        <w:rPr>
          <w:rStyle w:val="Style_2_ch"/>
          <w:rFonts w:ascii="Times New Roman" w:hAnsi="Times New Roman"/>
          <w:sz w:val="28"/>
        </w:rPr>
        <w:t>functions частично представлены в пункте выше, частично будут представлены уже в пункте многокритериального анализа</w:t>
      </w:r>
    </w:p>
    <w:p w14:paraId="FF000000">
      <w:pPr>
        <w:pStyle w:val="Style_2"/>
        <w:tabs>
          <w:tab w:leader="none" w:pos="1134" w:val="left"/>
        </w:tabs>
        <w:ind w:firstLine="0" w:left="709"/>
        <w:contextualSpacing w:val="1"/>
        <w:jc w:val="both"/>
        <w:rPr>
          <w:rFonts w:ascii="Times New Roman" w:hAnsi="Times New Roman"/>
          <w:sz w:val="28"/>
        </w:rPr>
      </w:pPr>
    </w:p>
    <w:p w14:paraId="00010000">
      <w:pPr>
        <w:pStyle w:val="Style_2"/>
        <w:tabs>
          <w:tab w:leader="none" w:pos="1134" w:val="left"/>
        </w:tabs>
        <w:ind w:firstLine="0" w:left="709"/>
        <w:contextualSpacing w:val="1"/>
        <w:jc w:val="both"/>
      </w:pPr>
    </w:p>
    <w:p w14:paraId="01010000">
      <w:bookmarkStart w:id="12" w:name="__RefHeading___14"/>
      <w:bookmarkEnd w:id="12"/>
      <w:pPr>
        <w:pStyle w:val="Style_6"/>
        <w:rPr>
          <w:b w:val="0"/>
        </w:rPr>
      </w:pPr>
      <w:r>
        <w:rPr>
          <w:b w:val="0"/>
        </w:rPr>
        <w:t>8. Анализ альтернатив вариантов преобразования деятельности</w:t>
      </w:r>
    </w:p>
    <w:p w14:paraId="02010000">
      <w:pPr>
        <w:pStyle w:val="Style_2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23329" cy="5046498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323329" cy="50464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6 – Вариант 1</w:t>
      </w:r>
    </w:p>
    <w:p w14:paraId="04010000">
      <w:pPr>
        <w:pStyle w:val="Style_2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90004" cy="5094551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390004" cy="50945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7</w:t>
      </w:r>
      <w:r>
        <w:rPr>
          <w:sz w:val="28"/>
        </w:rPr>
        <w:t xml:space="preserve"> – Вариант </w:t>
      </w:r>
      <w:r>
        <w:rPr>
          <w:sz w:val="28"/>
        </w:rPr>
        <w:t>2</w:t>
      </w:r>
    </w:p>
    <w:p w14:paraId="06010000">
      <w:pPr>
        <w:pStyle w:val="Style_2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</w:p>
    <w:p w14:paraId="07010000">
      <w:pPr>
        <w:pStyle w:val="Style_2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90004" cy="5086470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390004" cy="50864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8</w:t>
      </w:r>
      <w:r>
        <w:rPr>
          <w:sz w:val="28"/>
        </w:rPr>
        <w:t xml:space="preserve"> – Вариант </w:t>
      </w:r>
      <w:r>
        <w:rPr>
          <w:sz w:val="28"/>
        </w:rPr>
        <w:t>3</w:t>
      </w:r>
    </w:p>
    <w:p w14:paraId="09010000">
      <w:pPr>
        <w:pStyle w:val="Style_2"/>
        <w:tabs>
          <w:tab w:leader="none" w:pos="1134" w:val="left"/>
        </w:tabs>
        <w:ind w:hanging="709" w:left="709"/>
        <w:contextualSpacing w:val="1"/>
        <w:jc w:val="center"/>
        <w:rPr>
          <w:rFonts w:ascii="Times New Roman" w:hAnsi="Times New Roman"/>
          <w:sz w:val="28"/>
        </w:rPr>
      </w:pPr>
      <w:r>
        <w:drawing>
          <wp:inline>
            <wp:extent cx="2610215" cy="905000"/>
            <wp:effectExtent b="0" l="0" r="0" t="0"/>
            <wp:docPr hidden="false" id="19" name="Picture 19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610215" cy="905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10000">
      <w:pPr>
        <w:pStyle w:val="Style_2"/>
        <w:tabs>
          <w:tab w:leader="none" w:pos="1134" w:val="left"/>
        </w:tabs>
        <w:ind w:hanging="709" w:left="709"/>
        <w:contextualSpacing w:val="1"/>
        <w:jc w:val="center"/>
        <w:rPr>
          <w:rFonts w:ascii="Times New Roman" w:hAnsi="Times New Roman"/>
          <w:sz w:val="28"/>
        </w:rPr>
      </w:pPr>
      <w:r>
        <w:rPr>
          <w:sz w:val="28"/>
        </w:rPr>
        <w:t>Рисунок 9 – Результат анализа</w:t>
      </w:r>
    </w:p>
    <w:p w14:paraId="0B010000">
      <w:pPr>
        <w:pStyle w:val="Style_2"/>
        <w:tabs>
          <w:tab w:leader="none" w:pos="1134" w:val="left"/>
        </w:tabs>
        <w:ind w:hanging="709" w:left="709"/>
        <w:contextualSpacing w:val="1"/>
        <w:jc w:val="center"/>
        <w:rPr>
          <w:rFonts w:ascii="Times New Roman" w:hAnsi="Times New Roman"/>
          <w:sz w:val="28"/>
        </w:rPr>
      </w:pPr>
    </w:p>
    <w:p w14:paraId="0C010000">
      <w:pPr>
        <w:pStyle w:val="Style_2"/>
        <w:ind w:firstLine="709"/>
      </w:pPr>
      <w:r>
        <w:rPr>
          <w:rFonts w:ascii="Times New Roman" w:hAnsi="Times New Roman"/>
          <w:sz w:val="28"/>
        </w:rPr>
        <w:t>Таким образом, второй</w:t>
      </w:r>
      <w:r>
        <w:rPr>
          <w:rFonts w:ascii="Times New Roman" w:hAnsi="Times New Roman"/>
          <w:sz w:val="28"/>
        </w:rPr>
        <w:t xml:space="preserve"> вариант реализации а</w:t>
      </w:r>
      <w:r>
        <w:rPr>
          <w:rStyle w:val="Style_2_ch"/>
          <w:rFonts w:ascii="Times New Roman" w:hAnsi="Times New Roman"/>
          <w:sz w:val="28"/>
        </w:rPr>
        <w:t>лгоритма интеллектуальной поддержки для оценки параметра степени тяжести дорожного происшествия</w:t>
      </w:r>
      <w:r>
        <w:rPr>
          <w:rFonts w:ascii="Times New Roman" w:hAnsi="Times New Roman"/>
          <w:sz w:val="28"/>
        </w:rPr>
        <w:t xml:space="preserve"> может считаться лучшим из представленных опций по нескольким ключевым причинам:</w:t>
      </w:r>
    </w:p>
    <w:p w14:paraId="0D010000">
      <w:pPr>
        <w:pStyle w:val="Style_2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Цена обеспечения – автоматизированная система, т.е. система, где сохраняется немалая роль человека в процессе куда дешевле полностью автоматической системы и при этом несильно дороже работы обычного специалиста</w:t>
      </w:r>
    </w:p>
    <w:p w14:paraId="0E010000">
      <w:pPr>
        <w:pStyle w:val="Style_2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Удобство интерфейса – люди, ввиду своей куда более универсальны в потреблении информации, нежели ПО или ИС, но в контексте работы с требованиями и иной информации, предназначенной для системного анализа, на текущий момент информация по ним как правило представляется в ограниченном спектре видов.</w:t>
      </w:r>
    </w:p>
    <w:p w14:paraId="0F010000">
      <w:pPr>
        <w:pStyle w:val="Style_2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Времязатраты на анализ – здесь лидирует полностью автоматическая система, как ИС, не нуждающаяся в человеке практически. Автоматизированная система, тем не менее, несильно ей уступает по сравнению с обычным специалистом</w:t>
      </w:r>
    </w:p>
    <w:p w14:paraId="10010000">
      <w:pPr>
        <w:pStyle w:val="Style_2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Качество оценки степени тяжести ДТП – между автоматизированной системой и автоматической практически нет разницы в точности оценки степени тяжести ДТП, но наблюдается существенная между ними и средним специалистом.</w:t>
      </w:r>
    </w:p>
    <w:p w14:paraId="11010000">
      <w:pPr>
        <w:pStyle w:val="Style_2"/>
        <w:rPr>
          <w:rFonts w:ascii="Times New Roman" w:hAnsi="Times New Roman"/>
          <w:sz w:val="28"/>
        </w:rPr>
      </w:pPr>
    </w:p>
    <w:p w14:paraId="12010000">
      <w:bookmarkStart w:id="13" w:name="__RefHeading___15"/>
      <w:bookmarkEnd w:id="13"/>
      <w:pPr>
        <w:pStyle w:val="Style_6"/>
        <w:rPr>
          <w:b w:val="0"/>
        </w:rPr>
      </w:pPr>
      <w:r>
        <w:rPr>
          <w:b w:val="0"/>
        </w:rPr>
        <w:t>9. Анализ альтернатив для способов автоматизации</w:t>
      </w:r>
    </w:p>
    <w:p w14:paraId="13010000">
      <w:pPr>
        <w:pStyle w:val="Style_2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способов реализации</w:t>
      </w:r>
      <w:r>
        <w:rPr>
          <w:rStyle w:val="Style_2_ch"/>
          <w:rFonts w:ascii="Times New Roman" w:hAnsi="Times New Roman"/>
          <w:sz w:val="28"/>
        </w:rPr>
        <w:t xml:space="preserve"> </w:t>
      </w:r>
      <w:r>
        <w:rPr>
          <w:rStyle w:val="Style_2_ch"/>
          <w:rFonts w:ascii="Times New Roman" w:hAnsi="Times New Roman"/>
          <w:sz w:val="28"/>
        </w:rPr>
        <w:t>алгоритма интеллектуальной поддержки для оценки параметра степени тяжести дорожного происшествия</w:t>
      </w:r>
      <w:r>
        <w:rPr>
          <w:rStyle w:val="Style_2_ch"/>
          <w:rFonts w:ascii="Times New Roman" w:hAnsi="Times New Roman"/>
          <w:sz w:val="28"/>
        </w:rPr>
        <w:t xml:space="preserve">  можно рассмотреть следующие способы:</w:t>
      </w:r>
    </w:p>
    <w:p w14:paraId="14010000">
      <w:pPr>
        <w:pStyle w:val="Style_2"/>
        <w:numPr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Байесовская сеть с применением наивного байесовского вывода (А)</w:t>
      </w:r>
    </w:p>
    <w:p w14:paraId="15010000">
      <w:pPr>
        <w:pStyle w:val="Style_2"/>
        <w:numPr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Байесовская с применением не наивного байесовского вывода (B)</w:t>
      </w:r>
    </w:p>
    <w:p w14:paraId="16010000">
      <w:pPr>
        <w:pStyle w:val="Style_2"/>
        <w:numPr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опорных векторов (C)</w:t>
      </w:r>
    </w:p>
    <w:p w14:paraId="17010000">
      <w:pPr>
        <w:pStyle w:val="Style_2"/>
        <w:rPr>
          <w:rFonts w:ascii="Times New Roman" w:hAnsi="Times New Roman"/>
          <w:sz w:val="28"/>
        </w:rPr>
      </w:pPr>
    </w:p>
    <w:p w14:paraId="18010000">
      <w:pPr>
        <w:pStyle w:val="Style_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Проанализируем</w:t>
      </w:r>
    </w:p>
    <w:p w14:paraId="19010000">
      <w:pPr>
        <w:ind w:firstLine="0" w:left="0" w:right="0"/>
        <w:rPr>
          <w:b w:val="1"/>
          <w:spacing w:val="0"/>
        </w:rPr>
      </w:pPr>
      <w:r>
        <w:rPr>
          <w:b w:val="1"/>
          <w:spacing w:val="0"/>
        </w:rPr>
        <w:t>Определение и весовая оценка факторов:</w:t>
      </w:r>
    </w:p>
    <w:tbl>
      <w:tblPr>
        <w:tblW w:type="auto" w:w="0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65"/>
        <w:gridCol w:w="4672"/>
      </w:tblGrid>
      <w:tr>
        <w:trPr>
          <w:trHeight w:hRule="atLeast" w:val="314"/>
        </w:trP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A01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Фактор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B01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Вес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C01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Эффективность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D01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60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E01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Экономический фактор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F01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40</w:t>
            </w:r>
          </w:p>
        </w:tc>
      </w:tr>
      <w:tr>
        <w:trPr>
          <w:trHeight w:hRule="atLeast" w:val="385"/>
        </w:trP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0010000">
            <w:pPr>
              <w:spacing w:after="160" w:line="252" w:lineRule="auto"/>
              <w:ind w:firstLine="0" w:left="0" w:right="0"/>
              <w:jc w:val="righ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Сумма: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10000">
            <w:pPr>
              <w:spacing w:after="160" w:line="252" w:lineRule="auto"/>
              <w:ind w:firstLine="0" w:left="0" w:right="0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100</w:t>
            </w:r>
          </w:p>
        </w:tc>
      </w:tr>
    </w:tbl>
    <w:p w14:paraId="22010000">
      <w:pPr>
        <w:pStyle w:val="Style_2"/>
        <w:rPr>
          <w:rFonts w:ascii="Times New Roman" w:hAnsi="Times New Roman"/>
          <w:sz w:val="28"/>
        </w:rPr>
      </w:pPr>
    </w:p>
    <w:p w14:paraId="23010000">
      <w:pPr>
        <w:ind w:firstLine="0" w:left="0" w:right="0"/>
        <w:rPr>
          <w:b w:val="1"/>
          <w:spacing w:val="0"/>
        </w:rPr>
      </w:pPr>
      <w:r>
        <w:rPr>
          <w:b w:val="1"/>
          <w:spacing w:val="0"/>
        </w:rPr>
        <w:t>Определение и весовая оценка критериев:</w:t>
      </w:r>
    </w:p>
    <w:tbl>
      <w:tblPr>
        <w:tblW w:type="auto" w:w="0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65"/>
        <w:gridCol w:w="4672"/>
      </w:tblGrid>
      <w:tr>
        <w:trPr>
          <w:trHeight w:hRule="atLeast" w:val="387"/>
        </w:trP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401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Критерий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501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Вес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10000">
            <w:pPr>
              <w:spacing w:after="160" w:line="252" w:lineRule="auto"/>
              <w:ind w:firstLine="0" w:left="0" w:right="0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Эффективность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701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60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Точность оценки степени тяжести ДТП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вывода подходящих под параметры сценарии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оценки степени тяжести ДТП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10000">
            <w:pPr>
              <w:spacing w:after="160" w:line="252" w:lineRule="auto"/>
              <w:ind w:firstLine="0" w:left="0" w:right="0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Экономический фактор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F01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40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 xml:space="preserve">          Стоимость реализации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 xml:space="preserve">          Сложность реализации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4010000">
            <w:pPr>
              <w:spacing w:after="160" w:line="252" w:lineRule="auto"/>
              <w:ind w:firstLine="0" w:left="0" w:right="0"/>
              <w:jc w:val="righ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Сумма: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 xml:space="preserve">100                      </w:t>
            </w:r>
            <w:r>
              <w:rPr>
                <w:b w:val="1"/>
                <w:spacing w:val="0"/>
              </w:rPr>
              <w:t>100</w:t>
            </w:r>
          </w:p>
        </w:tc>
      </w:tr>
    </w:tbl>
    <w:p w14:paraId="36010000">
      <w:pPr>
        <w:pStyle w:val="Style_2"/>
        <w:rPr>
          <w:rFonts w:ascii="Times New Roman" w:hAnsi="Times New Roman"/>
          <w:sz w:val="28"/>
        </w:rPr>
      </w:pPr>
    </w:p>
    <w:p w14:paraId="37010000">
      <w:pPr>
        <w:pStyle w:val="Style_2"/>
        <w:rPr>
          <w:rFonts w:ascii="Times New Roman" w:hAnsi="Times New Roman"/>
          <w:sz w:val="28"/>
        </w:rPr>
      </w:pPr>
    </w:p>
    <w:tbl>
      <w:tblPr>
        <w:tblW w:type="auto" w:w="0"/>
        <w:jc w:val="center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21"/>
        <w:gridCol w:w="1396"/>
        <w:gridCol w:w="1392"/>
        <w:gridCol w:w="1392"/>
      </w:tblGrid>
      <w:tr>
        <w:trPr>
          <w:trHeight w:hRule="atLeast" w:val="473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8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Критерий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9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A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A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B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B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C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Точность оценки степени тяжести ДТП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вывода подходящих под параметры сценарии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оценки степени тяжести ДТП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Стоимость реализации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0,3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Сложность реализации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0,3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10000">
            <w:pPr>
              <w:pStyle w:val="Style_2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</w:tr>
    </w:tbl>
    <w:p w14:paraId="50010000">
      <w:pPr>
        <w:spacing w:before="120"/>
        <w:ind w:firstLine="0" w:left="0" w:right="0"/>
        <w:rPr>
          <w:b w:val="1"/>
          <w:spacing w:val="0"/>
        </w:rPr>
      </w:pPr>
      <w:r>
        <w:rPr>
          <w:b w:val="1"/>
          <w:spacing w:val="0"/>
        </w:rPr>
        <w:t>Вычисление оценки для концепций:</w:t>
      </w:r>
    </w:p>
    <w:tbl>
      <w:tblPr>
        <w:tblW w:type="auto" w:w="0"/>
        <w:jc w:val="center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299"/>
        <w:gridCol w:w="1984"/>
        <w:gridCol w:w="975"/>
        <w:gridCol w:w="1082"/>
        <w:gridCol w:w="1052"/>
      </w:tblGrid>
      <w:tr>
        <w:tc>
          <w:tcPr>
            <w:tcW w:type="dxa" w:w="329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1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Критерий</w:t>
            </w:r>
          </w:p>
        </w:tc>
        <w:tc>
          <w:tcPr>
            <w:tcW w:type="dxa" w:w="5093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2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Вес</w:t>
            </w:r>
          </w:p>
        </w:tc>
      </w:tr>
      <w:tr>
        <w:trPr>
          <w:trHeight w:hRule="atLeast" w:val="522"/>
        </w:trPr>
        <w:tc>
          <w:tcPr>
            <w:tcW w:type="dxa" w:w="329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3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Всего по критерию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4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A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5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B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6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C</w:t>
            </w:r>
          </w:p>
        </w:tc>
      </w:tr>
      <w:tr>
        <w:trPr>
          <w:trHeight w:hRule="atLeast" w:val="45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7010000">
            <w:pPr>
              <w:spacing w:after="200" w:line="276" w:lineRule="auto"/>
              <w:ind w:firstLine="0" w:left="0" w:right="0"/>
              <w:jc w:val="lef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Эффективность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8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60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59010000">
            <w:pPr>
              <w:ind/>
              <w:jc w:val="center"/>
              <w:rPr>
                <w:b w:val="1"/>
                <w:spacing w:val="0"/>
              </w:rPr>
            </w:pPr>
            <w:r>
              <w:rPr>
                <w:rStyle w:val="Style_2_ch"/>
                <w:b w:val="1"/>
                <w:spacing w:val="0"/>
              </w:rPr>
              <w:t>33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A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37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B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35</w:t>
            </w:r>
          </w:p>
        </w:tc>
      </w:tr>
      <w:tr>
        <w:trPr>
          <w:trHeight w:hRule="atLeast" w:val="45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Точность оценки степени тяжести ДТП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E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F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25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0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17</w:t>
            </w:r>
          </w:p>
        </w:tc>
      </w:tr>
      <w:tr>
        <w:trPr>
          <w:trHeight w:hRule="atLeast" w:val="42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вывода подходящих под параметры сценарии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3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4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6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5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</w:tr>
      <w:tr>
        <w:trPr>
          <w:trHeight w:hRule="atLeast" w:val="416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оценки степени тяжести ДТП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8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9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6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A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</w:tr>
      <w:tr>
        <w:trPr>
          <w:trHeight w:hRule="atLeast" w:val="408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B010000">
            <w:pPr>
              <w:spacing w:after="200" w:line="276" w:lineRule="auto"/>
              <w:ind w:firstLine="0" w:left="0" w:right="0"/>
              <w:jc w:val="lef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Экономический фактор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C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40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D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28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E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13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F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20</w:t>
            </w:r>
          </w:p>
        </w:tc>
      </w:tr>
      <w:tr>
        <w:trPr>
          <w:trHeight w:hRule="atLeast" w:val="41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Стоимость реализации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2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7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3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3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4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5</w:t>
            </w:r>
          </w:p>
        </w:tc>
      </w:tr>
      <w:tr>
        <w:trPr>
          <w:trHeight w:hRule="atLeast" w:val="420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Сложность реализации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7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21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8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9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</w:tr>
      <w:tr>
        <w:trPr>
          <w:trHeight w:hRule="atLeast" w:val="45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A010000">
            <w:pPr>
              <w:spacing w:after="200" w:line="276" w:lineRule="auto"/>
              <w:ind w:firstLine="0" w:left="0" w:right="0"/>
              <w:jc w:val="righ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Итого: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B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100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C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61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D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50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E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55</w:t>
            </w:r>
          </w:p>
        </w:tc>
      </w:tr>
    </w:tbl>
    <w:p w14:paraId="7F010000">
      <w:pPr>
        <w:pStyle w:val="Style_2"/>
        <w:rPr>
          <w:rFonts w:ascii="Times New Roman" w:hAnsi="Times New Roman"/>
          <w:sz w:val="28"/>
        </w:rPr>
      </w:pPr>
    </w:p>
    <w:p w14:paraId="80010000">
      <w:pPr>
        <w:pStyle w:val="Style_2"/>
        <w:ind w:firstLine="709"/>
        <w:rPr>
          <w:rFonts w:ascii="Times New Roman" w:hAnsi="Times New Roman"/>
          <w:sz w:val="28"/>
        </w:rPr>
      </w:pPr>
      <w:r>
        <w:rPr>
          <w:rStyle w:val="Style_2_ch"/>
          <w:rFonts w:ascii="Times New Roman" w:hAnsi="Times New Roman"/>
          <w:sz w:val="28"/>
        </w:rPr>
        <w:t>Вывод: Таким образом, построение байесовской</w:t>
      </w:r>
      <w:r>
        <w:rPr>
          <w:rStyle w:val="Style_2_ch"/>
          <w:rFonts w:ascii="Times New Roman" w:hAnsi="Times New Roman"/>
          <w:sz w:val="28"/>
        </w:rPr>
        <w:tab/>
      </w:r>
      <w:r>
        <w:rPr>
          <w:rStyle w:val="Style_2_ch"/>
          <w:rFonts w:ascii="Times New Roman" w:hAnsi="Times New Roman"/>
          <w:sz w:val="28"/>
        </w:rPr>
        <w:t>сети с применением наивного байесовского вывода является наиболее выгодной альтернативой из предложенных выше.</w:t>
      </w:r>
    </w:p>
    <w:p w14:paraId="81010000">
      <w:pPr>
        <w:pStyle w:val="Style_2"/>
        <w:rPr>
          <w:rFonts w:ascii="Times New Roman" w:hAnsi="Times New Roman"/>
          <w:sz w:val="28"/>
        </w:rPr>
      </w:pPr>
    </w:p>
    <w:p w14:paraId="82010000">
      <w:bookmarkStart w:id="14" w:name="__RefHeading___16"/>
      <w:bookmarkEnd w:id="14"/>
      <w:pPr>
        <w:pStyle w:val="Style_8"/>
      </w:pPr>
      <w:r>
        <w:t>Список использованной литературы</w:t>
      </w:r>
    </w:p>
    <w:p w14:paraId="83010000">
      <w:pPr>
        <w:widowControl w:val="1"/>
        <w:spacing w:after="0" w:before="0" w:line="240" w:lineRule="auto"/>
        <w:ind/>
        <w:jc w:val="left"/>
      </w:pPr>
    </w:p>
    <w:p w14:paraId="84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Халл Э., Джексон К., Дик Дж. Инженерия требований. – М.: ДМК, 2016. </w:t>
      </w:r>
    </w:p>
    <w:p w14:paraId="85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INCOSE Systems Engineering Handbook: A Guide for System Life Cycle Processes and Activities, 4th Edition, ISBN: 978-1-118-99940-0 – August 2015, 304 pages. </w:t>
      </w:r>
    </w:p>
    <w:p w14:paraId="86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А. Косяков, У. Свит и др. Системная инженерия. Принципы и практи-ка. Пер. с англ. по ред. В.К. Батоврина. ISBN 978-5-97060-464-9 – М.: ДМК Пресс, 2017. </w:t>
      </w:r>
    </w:p>
    <w:p w14:paraId="87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Sanford Friedenthal, Alan Moore and Rick Steiner. A Practical Guide to SysML: The Systems Modeling Language. – The MK/OMG Press. </w:t>
      </w:r>
      <w:r>
        <w:rPr>
          <w:rFonts w:ascii="Times New Roman" w:hAnsi="Times New Roman"/>
          <w:sz w:val="28"/>
        </w:rPr>
        <w:t xml:space="preserve">3rd Edition, 2015, 630 pp. </w:t>
      </w:r>
    </w:p>
    <w:p w14:paraId="88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Крэг Ларман. Применение UML 2.0 и шаблонов проектирования. – Диалектика, 2019, 736 с. </w:t>
      </w:r>
    </w:p>
    <w:p w14:paraId="89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Model-based system engineering: http://sewiki.ru/MBSE </w:t>
      </w:r>
    </w:p>
    <w:p w14:paraId="8A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Королев А.С. Инструментарий моделе-ориентированной системной инженерии [Электронный ресурс]: учебное пособие. – М.: РТУ МИРЭА, 2019. – Электрон. опт. диск (ISO). </w:t>
      </w:r>
    </w:p>
    <w:p w14:paraId="8B010000">
      <w:pPr>
        <w:widowControl w:val="1"/>
        <w:numPr>
          <w:ilvl w:val="0"/>
          <w:numId w:val="4"/>
        </w:numPr>
        <w:spacing w:after="33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Королев А.С. Функциональный анализ систем с использованием средств моделе-ориентированной системной инженерии [Электронный ресурс]: учебное пособие. – М.: РТУ МИРЭА, 2020. – Электрон. опт. диск (ISO). </w:t>
      </w:r>
    </w:p>
    <w:p w14:paraId="8C010000">
      <w:pPr>
        <w:widowControl w:val="1"/>
        <w:numPr>
          <w:ilvl w:val="0"/>
          <w:numId w:val="4"/>
        </w:numPr>
        <w:spacing w:after="0" w:before="0"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Королев А.С., Гайдамака К.И.: Управление требованиями. [Электронный ресурс]: методические указания / Королев А.С., Гайдамака К.И. – М.: Российский технологический университет – МИРЭА, 2020. – 1 электрон. опт. диск (CD-ROM). </w:t>
      </w:r>
    </w:p>
    <w:p w14:paraId="8D010000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Королев А.С., Гайдамака К.И.: Верификация и валидация системных решений. [Электронный ресурс]: методические указания / Королев А.С., Гайдамака К.И. – М.: Российский технологический университет – МИРЭА, 2020.</w:t>
      </w:r>
    </w:p>
    <w:p w14:paraId="8E010000">
      <w:pPr>
        <w:pStyle w:val="Style_2"/>
        <w:rPr>
          <w:rFonts w:ascii="Times New Roman" w:hAnsi="Times New Roman"/>
          <w:sz w:val="28"/>
        </w:rPr>
      </w:pPr>
    </w:p>
    <w:sectPr>
      <w:footerReference r:id="rId1" w:type="default"/>
      <w:pgSz w:h="16838" w:orient="portrait" w:w="11906"/>
      <w:pgMar w:bottom="1134" w:left="1304" w:right="539" w:top="1134"/>
      <w:pgNumType w:fmt="decimal" w:start="3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layoutInCell="true" locked="false" relativeHeight="251658240" simplePos="false">
              <wp:simplePos x="0" y="0"/>
              <wp:positionH relativeFrom="insideMargin">
                <wp:align>center</wp:align>
              </wp:positionH>
              <wp:positionV relativeFrom="paragraph">
                <wp:posOffset>0</wp:posOffset>
              </wp:positionV>
              <wp:extent cx="0" cy="0"/>
              <wp:wrapSquare wrapText="bothSides"/>
              <wp:docPr hidden="false" id="1" name="Picture 1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0" cy="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00000">
                          <w:r>
                            <w:fldChar w:fldCharType="begin"/>
                          </w:r>
                          <w:r>
                            <w:instrText>PAGE \* Arabic</w:instrText>
                          </w:r>
                          <w:r>
                            <w:fldChar w:fldCharType="separate"/>
                          </w:r>
                          <w: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 anchorCtr="true" vert="horz"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9" w:type="paragraph">
    <w:name w:val="toc 4"/>
    <w:next w:val="Style_2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next w:val="Style_2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2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5" w:type="paragraph">
    <w:name w:val="toc 3"/>
    <w:next w:val="Style_2"/>
    <w:link w:val="Style_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5_ch" w:type="character">
    <w:name w:val="toc 3"/>
    <w:link w:val="Style_5"/>
    <w:rPr>
      <w:rFonts w:ascii="XO Thames" w:hAnsi="XO Thames"/>
      <w:sz w:val="28"/>
    </w:rPr>
  </w:style>
  <w:style w:styleId="Style_13" w:type="paragraph">
    <w:name w:val="heading 5"/>
    <w:next w:val="Style_2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6" w:type="paragraph">
    <w:name w:val="heading 1"/>
    <w:next w:val="Style_2"/>
    <w:link w:val="Style_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6_ch" w:type="character">
    <w:name w:val="heading 1"/>
    <w:link w:val="Style_6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3" w:type="paragraph">
    <w:name w:val="toc 1"/>
    <w:next w:val="Style_2"/>
    <w:link w:val="Style_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_ch" w:type="character">
    <w:name w:val="toc 1"/>
    <w:link w:val="Style_3"/>
    <w:rPr>
      <w:rFonts w:ascii="XO Thames" w:hAnsi="XO Thames"/>
      <w:b w:val="1"/>
      <w:sz w:val="28"/>
    </w:rPr>
  </w:style>
  <w:style w:styleId="Style_1" w:type="paragraph">
    <w:name w:val="Header and Footer"/>
    <w:link w:val="Style_1_ch"/>
    <w:pPr>
      <w:spacing w:line="240" w:lineRule="auto"/>
      <w:ind/>
      <w:jc w:val="both"/>
    </w:pPr>
    <w:rPr>
      <w:rFonts w:ascii="XO Thames" w:hAnsi="XO Thames"/>
      <w:sz w:val="28"/>
    </w:rPr>
  </w:style>
  <w:style w:styleId="Style_1_ch" w:type="character">
    <w:name w:val="Header and Footer"/>
    <w:link w:val="Style_1"/>
    <w:rPr>
      <w:rFonts w:ascii="XO Thames" w:hAnsi="XO Thames"/>
      <w:sz w:val="28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7" w:type="paragraph">
    <w:name w:val="heading 2"/>
    <w:next w:val="Style_2"/>
    <w:link w:val="Style_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7_ch" w:type="character">
    <w:name w:val="heading 2"/>
    <w:link w:val="Style_7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7" Target="media/6.png" Type="http://schemas.openxmlformats.org/officeDocument/2006/relationships/image"/>
  <Relationship Id="rId6" Target="media/5.png" Type="http://schemas.openxmlformats.org/officeDocument/2006/relationships/image"/>
  <Relationship Id="rId14" Target="stylesWithEffects.xml" Type="http://schemas.microsoft.com/office/2007/relationships/stylesWithEffects"/>
  <Relationship Id="rId13" Target="styles.xml" Type="http://schemas.openxmlformats.org/officeDocument/2006/relationships/style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12" Target="settings.xml" Type="http://schemas.openxmlformats.org/officeDocument/2006/relationships/settings"/>
  <Relationship Id="rId10" Target="media/9.png" Type="http://schemas.openxmlformats.org/officeDocument/2006/relationships/image"/>
  <Relationship Id="rId5" Target="media/4.png" Type="http://schemas.openxmlformats.org/officeDocument/2006/relationships/image"/>
  <Relationship Id="rId11" Target="fontTable.xml" Type="http://schemas.openxmlformats.org/officeDocument/2006/relationships/fontTable"/>
  <Relationship Id="rId8" Target="media/7.png" Type="http://schemas.openxmlformats.org/officeDocument/2006/relationships/image"/>
  <Relationship Id="rId16" Target="theme/theme1.xml" Type="http://schemas.openxmlformats.org/officeDocument/2006/relationships/theme"/>
  <Relationship Id="rId2" Target="media/1.jpeg" Type="http://schemas.openxmlformats.org/officeDocument/2006/relationships/image"/>
  <Relationship Id="rId9" Target="media/8.png" Type="http://schemas.openxmlformats.org/officeDocument/2006/relationships/image"/>
  <Relationship Id="rId15" Target="webSettings.xml" Type="http://schemas.openxmlformats.org/officeDocument/2006/relationships/webSettings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2024-04-15T12:02:36Z</dcterms:modified>
</cp:coreProperties>
</file>