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865e1c621dc347ff" /><Relationship Type="http://schemas.openxmlformats.org/package/2006/relationships/metadata/core-properties" Target="/docProps/core.xml" Id="R3c4856d0a1ee4f99" /><Relationship Type="http://schemas.openxmlformats.org/officeDocument/2006/relationships/extended-properties" Target="/docProps/app.xml" Id="Ra6111c04dbb64ba3" /><Relationship Type="http://schemas.openxmlformats.org/officeDocument/2006/relationships/custom-properties" Target="/docProps/custom.xml" Id="R855b81bd506848d7"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60"/>
        <w:jc w:val="center"/>
      </w:pPr>
      <w:r>
        <w:rPr>
          <w:b/>
          <w:color w:val="1F6F3D"/>
          <w:sz w:val="64"/>
        </w:rPr>
        <w:t xml:space="preserve">PhishGuard AI</w:t>
      </w:r>
    </w:p>
    <w:p w14:paraId="00100002" w14:textId="00100003">
      <w:pPr>
        <w:pStyle w:val="Subtitle"/>
        <w:spacing w:after="120"/>
        <w:jc w:val="center"/>
      </w:pPr>
      <w:r>
        <w:rPr>
          <w:color w:val="444444"/>
          <w:sz w:val="32"/>
        </w:rPr>
        <w:t xml:space="preserve">Phishing URL Detection System</w:t>
      </w:r>
    </w:p>
    <w:p w14:paraId="00100004" w14:textId="00100005">
      <w:pPr>
        <w:spacing w:after="80"/>
        <w:jc w:val="center"/>
      </w:pPr>
      <w:r>
        <w:rPr>
          <w:color w:val="666666"/>
          <w:sz w:val="26"/>
        </w:rPr>
        <w:t xml:space="preserve">Project Report</w:t>
      </w:r>
    </w:p>
    <w:p w14:paraId="00100006" w14:textId="00100007">
      <w:pPr>
        <w:spacing w:after="80"/>
        <w:jc w:val="center"/>
      </w:pPr>
      <w:r>
        <w:rPr>
          <w:color w:val="666666"/>
          <w:sz w:val="24"/>
        </w:rPr>
        <w:t xml:space="preserve">Subject: Cybersecurity Application Development</w:t>
      </w:r>
    </w:p>
    <w:p w14:paraId="00100008" w14:textId="00100009">
      <w:pPr>
        <w:spacing w:after="80"/>
        <w:jc w:val="center"/>
      </w:pPr>
      <w:r>
        <w:rPr>
          <w:color w:val="666666"/>
          <w:sz w:val="24"/>
        </w:rPr>
        <w:t xml:space="preserve">Technology: Python · Streamlit · Pandas</w:t>
      </w:r>
    </w:p>
    <w:p w14:paraId="0010000A" w14:textId="0010000B">
      <w:pPr>
        <w:spacing w:after="720"/>
        <w:jc w:val="center"/>
      </w:pPr>
      <w:r>
        <w:rPr>
          <w:color w:val="666666"/>
          <w:sz w:val="24"/>
        </w:rPr>
        <w:t xml:space="preserve">File: app.py  (single-file application)</w:t>
      </w:r>
    </w:p>
    <w:p w14:paraId="0010000C" w14:textId="0010000D">
      <w:pPr>
        <w:pStyle w:val="Heading1"/>
        <w:spacing w:before="0" w:after="200"/>
      </w:pPr>
      <w:r>
        <w:rPr>
          <w:b/>
          <w:color w:val="1F6F3D"/>
          <w:sz w:val="32"/>
        </w:rPr>
        <w:t xml:space="preserve">Table of Contents</w:t>
      </w:r>
    </w:p>
    <w:p w14:paraId="0010000E" w14:textId="0010000F">
      <w:pPr>
        <w:spacing w:after="80"/>
      </w:pPr>
      <w:r>
        <w:rPr>
          <w:sz w:val="22"/>
        </w:rPr>
        <w:t xml:space="preserve">1.  Project Overview</w:t>
      </w:r>
    </w:p>
    <w:p w14:paraId="00100010" w14:textId="00100011">
      <w:pPr>
        <w:spacing w:after="80"/>
      </w:pPr>
      <w:r>
        <w:rPr>
          <w:sz w:val="22"/>
        </w:rPr>
        <w:t xml:space="preserve">2.  Objectives</w:t>
      </w:r>
    </w:p>
    <w:p w14:paraId="00100012" w14:textId="00100013">
      <w:pPr>
        <w:spacing w:after="80"/>
      </w:pPr>
      <w:r>
        <w:rPr>
          <w:sz w:val="22"/>
        </w:rPr>
        <w:t xml:space="preserve">3.  Technology Stack</w:t>
      </w:r>
    </w:p>
    <w:p w14:paraId="00100014" w14:textId="00100015">
      <w:pPr>
        <w:spacing w:after="80"/>
      </w:pPr>
      <w:r>
        <w:rPr>
          <w:sz w:val="22"/>
        </w:rPr>
        <w:t xml:space="preserve">4.  System Architecture</w:t>
      </w:r>
    </w:p>
    <w:p w14:paraId="00100016" w14:textId="00100017">
      <w:pPr>
        <w:spacing w:after="80"/>
      </w:pPr>
      <w:r>
        <w:rPr>
          <w:sz w:val="22"/>
        </w:rPr>
        <w:t xml:space="preserve">5.  Detection Engine — Rules &amp; Scoring</w:t>
      </w:r>
    </w:p>
    <w:p w14:paraId="00100018" w14:textId="00100019">
      <w:pPr>
        <w:spacing w:after="80"/>
      </w:pPr>
      <w:r>
        <w:rPr>
          <w:sz w:val="22"/>
        </w:rPr>
        <w:t xml:space="preserve">6.  Feature Descriptions</w:t>
      </w:r>
    </w:p>
    <w:p w14:paraId="0010001A" w14:textId="0010001B">
      <w:pPr>
        <w:spacing w:after="80"/>
      </w:pPr>
      <w:r>
        <w:rPr>
          <w:sz w:val="22"/>
        </w:rPr>
        <w:t xml:space="preserve">7.  User Interface Design</w:t>
      </w:r>
    </w:p>
    <w:p w14:paraId="0010001C" w14:textId="0010001D">
      <w:pPr>
        <w:spacing w:after="80"/>
      </w:pPr>
      <w:r>
        <w:rPr>
          <w:sz w:val="22"/>
        </w:rPr>
        <w:t xml:space="preserve">8.  How to Run the Application</w:t>
      </w:r>
    </w:p>
    <w:p w14:paraId="0010001E" w14:textId="0010001F">
      <w:pPr>
        <w:spacing w:after="80"/>
      </w:pPr>
      <w:r>
        <w:rPr>
          <w:sz w:val="22"/>
        </w:rPr>
        <w:t xml:space="preserve">9.  Sample Test Results</w:t>
      </w:r>
    </w:p>
    <w:p w14:paraId="00100020" w14:textId="00100021">
      <w:pPr>
        <w:spacing w:after="80"/>
      </w:pPr>
      <w:r>
        <w:rPr>
          <w:sz w:val="22"/>
        </w:rPr>
        <w:t xml:space="preserve">10. Limitations &amp; Future Enhancements</w:t>
      </w:r>
    </w:p>
    <w:p w14:paraId="00100022" w14:textId="00100023">
      <w:pPr>
        <w:spacing w:after="80"/>
      </w:pPr>
      <w:r>
        <w:rPr>
          <w:sz w:val="22"/>
        </w:rPr>
        <w:t xml:space="preserve">11. Conclusion</w:t>
      </w:r>
    </w:p>
    <w:p w14:paraId="00100024" w14:textId="00100025">
      <w:pPr>
        <w:spacing w:after="480"/>
      </w:pPr>
      <w:r>
        <w:rPr>
          <w:sz w:val="22"/>
        </w:rPr>
        <w:t xml:space="preserve">12. References</w:t>
      </w:r>
    </w:p>
    <w:p w14:paraId="00100026" w14:textId="00100027">
      <w:pPr>
        <w:pStyle w:val="Heading1"/>
        <w:spacing w:before="360" w:after="160"/>
      </w:pPr>
      <w:r>
        <w:rPr>
          <w:b/>
          <w:color w:val="1F6F3D"/>
          <w:sz w:val="32"/>
        </w:rPr>
        <w:t xml:space="preserve">1. Project Overview</w:t>
      </w:r>
    </w:p>
    <w:p w14:paraId="00100028" w14:textId="00100029">
      <w:pPr>
        <w:spacing w:after="160"/>
      </w:pPr>
      <w:r>
        <w:rPr>
          <w:sz w:val="22"/>
        </w:rPr>
        <w:t xml:space="preserve">PhishGuard AI is a lightweight, browser-based cybersecurity tool built with Python and Streamlit. It analyses website URLs in real time to detect potential phishing threats using a rule-based scoring engine. The entire application is contained within a single Python file (app.py) and requires no external APIs, databases, or machine-learning models.</w:t>
      </w:r>
    </w:p>
    <w:p w14:paraId="0010002A" w14:textId="0010002B">
      <w:pPr>
        <w:spacing w:after="160"/>
      </w:pPr>
      <w:r>
        <w:rPr>
          <w:sz w:val="22"/>
        </w:rPr>
        <w:t xml:space="preserve">Phishing attacks remain one of the most prevalent and damaging forms of cybercrime, targeting individuals and organisations by impersonating trusted websites to steal credentials, financial data, and personal information. This project provides an educational, beginner-friendly demonstration of how pattern-based heuristics can flag suspicious URLs before a user visits them.</w:t>
      </w:r>
    </w:p>
    <w:p w14:paraId="0010002C" w14:textId="0010002D">
      <w:pPr>
        <w:spacing w:after="160"/>
      </w:pPr>
      <w:r>
        <w:rPr>
          <w:sz w:val="22"/>
        </w:rPr>
        <w:t xml:space="preserve">The application features a modern dark dashboard with four live counters, four functional tabs, an explainable risk scoring system, downloadable security reports, bulk CSV analysis, and a visual risk distribution chart — all running locally on any Windows, macOS, or Linux machine.</w:t>
      </w:r>
    </w:p>
    <w:p w14:paraId="0010002E" w14:textId="0010002F">
      <w:pPr>
        <w:pStyle w:val="Heading1"/>
        <w:spacing w:before="360" w:after="160"/>
      </w:pPr>
      <w:r>
        <w:rPr>
          <w:b/>
          <w:color w:val="1F6F3D"/>
          <w:sz w:val="32"/>
        </w:rPr>
        <w:t xml:space="preserve">2. Objectives</w:t>
      </w:r>
    </w:p>
    <w:p w14:paraId="00100030" w14:textId="00100031">
      <w:pPr>
        <w:spacing w:after="120"/>
      </w:pPr>
      <w:r>
        <w:rPr>
          <w:sz w:val="22"/>
        </w:rPr>
        <w:t xml:space="preserve">The primary objectives of the PhishGuard AI project are:</w:t>
      </w:r>
    </w:p>
    <w:p w14:paraId="00100032" w14:textId="00100033">
      <w:pPr>
        <w:numPr>
          <w:ilvl w:val="0"/>
          <w:numId w:val="1"/>
        </w:numPr>
        <w:spacing w:after="80"/>
      </w:pPr>
      <w:r>
        <w:rPr>
          <w:sz w:val="22"/>
        </w:rPr>
        <w:t xml:space="preserve">• Provide a practical, interactive demonstration of phishing URL detection without cloud dependencies.</w:t>
      </w:r>
    </w:p>
    <w:p w14:paraId="00100034" w14:textId="00100035">
      <w:pPr>
        <w:numPr>
          <w:ilvl w:val="0"/>
          <w:numId w:val="1"/>
        </w:numPr>
        <w:spacing w:after="80"/>
      </w:pPr>
      <w:r>
        <w:rPr>
          <w:sz w:val="22"/>
        </w:rPr>
        <w:t xml:space="preserve">• Implement a transparent, rule-based scoring engine whose decisions can be fully explained to the user.</w:t>
      </w:r>
    </w:p>
    <w:p w14:paraId="00100036" w14:textId="00100037">
      <w:pPr>
        <w:numPr>
          <w:ilvl w:val="0"/>
          <w:numId w:val="1"/>
        </w:numPr>
        <w:spacing w:after="80"/>
      </w:pPr>
      <w:r>
        <w:rPr>
          <w:sz w:val="22"/>
        </w:rPr>
        <w:t xml:space="preserve">• Present analysis results clearly through a professional dark-themed dashboard using only standard Python libraries.</w:t>
      </w:r>
    </w:p>
    <w:p w14:paraId="00100038" w14:textId="00100039">
      <w:pPr>
        <w:numPr>
          <w:ilvl w:val="0"/>
          <w:numId w:val="1"/>
        </w:numPr>
        <w:spacing w:after="80"/>
      </w:pPr>
      <w:r>
        <w:rPr>
          <w:sz w:val="22"/>
        </w:rPr>
        <w:t xml:space="preserve">• Support both individual URL analysis and batch processing of multiple URLs via CSV upload.</w:t>
      </w:r>
    </w:p>
    <w:p w14:paraId="0010003A" w14:textId="0010003B">
      <w:pPr>
        <w:numPr>
          <w:ilvl w:val="0"/>
          <w:numId w:val="1"/>
        </w:numPr>
        <w:spacing w:after="80"/>
      </w:pPr>
      <w:r>
        <w:rPr>
          <w:sz w:val="22"/>
        </w:rPr>
        <w:t xml:space="preserve">• Enable users to download structured security reports for documentation and sharing.</w:t>
      </w:r>
    </w:p>
    <w:p w14:paraId="0010003C" w14:textId="0010003D">
      <w:pPr>
        <w:numPr>
          <w:ilvl w:val="0"/>
          <w:numId w:val="1"/>
        </w:numPr>
        <w:spacing w:after="80"/>
      </w:pPr>
      <w:r>
        <w:rPr>
          <w:sz w:val="22"/>
        </w:rPr>
        <w:t xml:space="preserve">• Persist analysis history and visualise risk distribution trends within the current session.</w:t>
      </w:r>
    </w:p>
    <w:p w14:paraId="0010003E" w14:textId="0010003F">
      <w:pPr>
        <w:pStyle w:val="Heading1"/>
        <w:spacing w:before="360" w:after="160"/>
      </w:pPr>
      <w:r>
        <w:rPr>
          <w:b/>
          <w:color w:val="1F6F3D"/>
          <w:sz w:val="32"/>
        </w:rPr>
        <w:t xml:space="preserve">3. Technology Stack</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40" w14:textId="00100041">
            <w:r>
              <w:t xml:space="preserve">Component</w:t>
            </w:r>
          </w:p>
        </w:tc>
        <w:tc>
          <w:p w14:paraId="00100042" w14:textId="00100043">
            <w:r>
              <w:t xml:space="preserve">Technology</w:t>
            </w:r>
          </w:p>
        </w:tc>
        <w:tc>
          <w:p w14:paraId="00100044" w14:textId="00100045">
            <w:r>
              <w:t xml:space="preserve">Purpose</w:t>
            </w:r>
          </w:p>
        </w:tc>
      </w:tr>
      <w:tr>
        <w:trPr/>
        <w:tc>
          <w:p w14:paraId="00100046" w14:textId="00100047">
            <w:r>
              <w:t xml:space="preserve">Web Framework</w:t>
            </w:r>
          </w:p>
        </w:tc>
        <w:tc>
          <w:p w14:paraId="00100048" w14:textId="00100049">
            <w:r>
              <w:t xml:space="preserve">Streamlit 1.x</w:t>
            </w:r>
          </w:p>
        </w:tc>
        <w:tc>
          <w:p w14:paraId="0010004A" w14:textId="0010004B">
            <w:r>
              <w:t xml:space="preserve">Renders the interactive browser-based UI and manages page reruns</w:t>
            </w:r>
          </w:p>
        </w:tc>
      </w:tr>
      <w:tr>
        <w:trPr/>
        <w:tc>
          <w:p w14:paraId="0010004C" w14:textId="0010004D">
            <w:r>
              <w:t xml:space="preserve">Programming Language</w:t>
            </w:r>
          </w:p>
        </w:tc>
        <w:tc>
          <w:p w14:paraId="0010004E" w14:textId="0010004F">
            <w:r>
              <w:t xml:space="preserve">Python 3.8+</w:t>
            </w:r>
          </w:p>
        </w:tc>
        <w:tc>
          <w:p w14:paraId="00100050" w14:textId="00100051">
            <w:r>
              <w:t xml:space="preserve">Core application logic, URL parsing, and rule engine</w:t>
            </w:r>
          </w:p>
        </w:tc>
      </w:tr>
      <w:tr>
        <w:trPr/>
        <w:tc>
          <w:p w14:paraId="00100052" w14:textId="00100053">
            <w:r>
              <w:t xml:space="preserve">Data Manipulation</w:t>
            </w:r>
          </w:p>
        </w:tc>
        <w:tc>
          <w:p w14:paraId="00100054" w14:textId="00100055">
            <w:r>
              <w:t xml:space="preserve">pandas 2.x</w:t>
            </w:r>
          </w:p>
        </w:tc>
        <w:tc>
          <w:p w14:paraId="00100056" w14:textId="00100057">
            <w:r>
              <w:t xml:space="preserve">CSV parsing for bulk upload and results DataFrame rendering</w:t>
            </w:r>
          </w:p>
        </w:tc>
      </w:tr>
      <w:tr>
        <w:trPr/>
        <w:tc>
          <w:p w14:paraId="00100058" w14:textId="00100059">
            <w:r>
              <w:t xml:space="preserve">URL Parsing</w:t>
            </w:r>
          </w:p>
        </w:tc>
        <w:tc>
          <w:p w14:paraId="0010005A" w14:textId="0010005B">
            <w:r>
              <w:t xml:space="preserve">urllib.parse (stdlib)</w:t>
            </w:r>
          </w:p>
        </w:tc>
        <w:tc>
          <w:p w14:paraId="0010005C" w14:textId="0010005D">
            <w:r>
              <w:t xml:space="preserve">Splits URLs into scheme, hostname, path, and query components</w:t>
            </w:r>
          </w:p>
        </w:tc>
      </w:tr>
      <w:tr>
        <w:trPr/>
        <w:tc>
          <w:p w14:paraId="0010005E" w14:textId="0010005F">
            <w:r>
              <w:t xml:space="preserve">CSV / IO</w:t>
            </w:r>
          </w:p>
        </w:tc>
        <w:tc>
          <w:p w14:paraId="00100060" w14:textId="00100061">
            <w:r>
              <w:t xml:space="preserve">csv, io (stdlib)</w:t>
            </w:r>
          </w:p>
        </w:tc>
        <w:tc>
          <w:p w14:paraId="00100062" w14:textId="00100063">
            <w:r>
              <w:t xml:space="preserve">Builds downloadable report and bulk results CSV entirely in memory</w:t>
            </w:r>
          </w:p>
        </w:tc>
      </w:tr>
      <w:tr>
        <w:trPr/>
        <w:tc>
          <w:p w14:paraId="00100064" w14:textId="00100065">
            <w:r>
              <w:t xml:space="preserve">Regex</w:t>
            </w:r>
          </w:p>
        </w:tc>
        <w:tc>
          <w:p w14:paraId="00100066" w14:textId="00100067">
            <w:r>
              <w:t xml:space="preserve">re (stdlib)</w:t>
            </w:r>
          </w:p>
        </w:tc>
        <w:tc>
          <w:p w14:paraId="00100068" w14:textId="00100069">
            <w:r>
              <w:t xml:space="preserve">IP address detection pattern matching</w:t>
            </w:r>
          </w:p>
        </w:tc>
      </w:tr>
      <w:tr>
        <w:trPr/>
        <w:tc>
          <w:p w14:paraId="0010006A" w14:textId="0010006B">
            <w:r>
              <w:t xml:space="preserve">Math</w:t>
            </w:r>
          </w:p>
        </w:tc>
        <w:tc>
          <w:p w14:paraId="0010006C" w14:textId="0010006D">
            <w:r>
              <w:t xml:space="preserve">math (stdlib)</w:t>
            </w:r>
          </w:p>
        </w:tc>
        <w:tc>
          <w:p w14:paraId="0010006E" w14:textId="0010006F">
            <w:r>
              <w:t xml:space="preserve">Shannon entropy calculation for domain randomness detection</w:t>
            </w:r>
          </w:p>
        </w:tc>
      </w:tr>
    </w:tbl>
    <w:p w14:paraId="00100070" w14:textId="00100071">
      <w:pPr>
        <w:pStyle w:val="Heading1"/>
        <w:spacing w:before="360" w:after="160"/>
      </w:pPr>
      <w:r>
        <w:rPr>
          <w:b/>
          <w:color w:val="1F6F3D"/>
          <w:sz w:val="32"/>
        </w:rPr>
        <w:t xml:space="preserve">4. System Architecture</w:t>
      </w:r>
    </w:p>
    <w:p w14:paraId="00100072" w14:textId="00100073">
      <w:pPr>
        <w:spacing w:after="160"/>
      </w:pPr>
      <w:r>
        <w:rPr>
          <w:sz w:val="22"/>
        </w:rPr>
        <w:t xml:space="preserve">PhishGuard AI follows a simple three-layer architecture entirely contained within app.py:</w:t>
      </w:r>
    </w:p>
    <w:p w14:paraId="00100074" w14:textId="00100075">
      <w:pPr>
        <w:spacing w:after="120"/>
      </w:pPr>
      <w:r>
        <w:rPr>
          <w:sz w:val="22"/>
        </w:rPr>
        <w:t xml:space="preserve">Layer 1 — Detection Engine: Pure Python functions that parse a URL, apply 11 independent heuristic rules, accumulate a risk score (capped at 100), and classify the result as High, Medium, or Low risk. The engine returns a structured dictionary including score, level, indicators, recommendations, and a per-rule score breakdown.</w:t>
      </w:r>
    </w:p>
    <w:p w14:paraId="00100076" w14:textId="00100077">
      <w:pPr>
        <w:spacing w:after="120"/>
      </w:pPr>
      <w:r>
        <w:rPr>
          <w:sz w:val="22"/>
        </w:rPr>
        <w:t xml:space="preserve">Layer 2 — State &amp; Report Helpers: Session-state management persists counters and history across Streamlit reruns without a database. Helper functions build the plain-text downloadable report and the bulk results CSV entirely in memory using Python's built-in io and csv modules.</w:t>
      </w:r>
    </w:p>
    <w:p w14:paraId="00100078" w14:textId="00100079">
      <w:pPr>
        <w:spacing w:after="120"/>
      </w:pPr>
      <w:r>
        <w:rPr>
          <w:sz w:val="22"/>
        </w:rPr>
        <w:t xml:space="preserve">Layer 3 — Streamlit UI: The presentation layer renders the dashboard header, four metric cards, and a four-tab interface. All styling is applied via a single injected CSS block, keeping the codebase self-contained with no external style sheets or JavaScript files.</w:t>
      </w:r>
    </w:p>
    <w:p w14:paraId="0010007A" w14:textId="0010007B">
      <w:pPr>
        <w:pStyle w:val="Heading1"/>
        <w:spacing w:before="360" w:after="160"/>
      </w:pPr>
      <w:r>
        <w:rPr>
          <w:b/>
          <w:color w:val="1F6F3D"/>
          <w:sz w:val="32"/>
        </w:rPr>
        <w:t xml:space="preserve">5. Detection Engine — Rules &amp; Scoring</w:t>
      </w:r>
    </w:p>
    <w:p w14:paraId="0010007C" w14:textId="0010007D">
      <w:pPr>
        <w:spacing w:after="160"/>
      </w:pPr>
      <w:r>
        <w:rPr>
          <w:sz w:val="22"/>
        </w:rPr>
        <w:t xml:space="preserve">The core of PhishGuard AI is the analyze_url() function, which evaluates every URL against 11 independent heuristic rules. Each rule assigns a weighted score reflecting its statistical prevalence in real phishing campaigns. The total is capped at 100 and mapped to a risk level:</w:t>
      </w:r>
    </w:p>
    <w:p w14:paraId="0010007E" w14:textId="0010007F">
      <w:pPr>
        <w:spacing w:after="200"/>
      </w:pPr>
      <w:r>
        <w:rPr>
          <w:b/>
          <w:sz w:val="22"/>
        </w:rPr>
        <w:t xml:space="preserve">• Score ≥ 60 → High Risk     • Score 30–59 → Medium Risk     • Score &lt; 30 → Low Risk</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80" w14:textId="00100081">
            <w:r>
              <w:t xml:space="preserve">Rule #</w:t>
            </w:r>
          </w:p>
        </w:tc>
        <w:tc>
          <w:p w14:paraId="00100082" w14:textId="00100083">
            <w:r>
              <w:t xml:space="preserve">Rule Name</w:t>
            </w:r>
          </w:p>
        </w:tc>
        <w:tc>
          <w:p w14:paraId="00100084" w14:textId="00100085">
            <w:r>
              <w:t xml:space="preserve">Score Added</w:t>
            </w:r>
          </w:p>
        </w:tc>
        <w:tc>
          <w:p w14:paraId="00100086" w14:textId="00100087">
            <w:r>
              <w:t xml:space="preserve">Severity</w:t>
            </w:r>
          </w:p>
        </w:tc>
      </w:tr>
      <w:tr>
        <w:trPr/>
        <w:tc>
          <w:p w14:paraId="00100088" w14:textId="00100089">
            <w:r>
              <w:t xml:space="preserve">Rule 1</w:t>
            </w:r>
          </w:p>
        </w:tc>
        <w:tc>
          <w:p w14:paraId="0010008A" w14:textId="0010008B">
            <w:r>
              <w:t xml:space="preserve">No HTTPS (HTTP scheme used)</w:t>
            </w:r>
          </w:p>
        </w:tc>
        <w:tc>
          <w:p w14:paraId="0010008C" w14:textId="0010008D">
            <w:r>
              <w:t xml:space="preserve">+10</w:t>
            </w:r>
          </w:p>
        </w:tc>
        <w:tc>
          <w:p w14:paraId="0010008E" w14:textId="0010008F">
            <w:r>
              <w:t xml:space="preserve">Medium</w:t>
            </w:r>
          </w:p>
        </w:tc>
      </w:tr>
      <w:tr>
        <w:trPr/>
        <w:tc>
          <w:p w14:paraId="00100090" w14:textId="00100091">
            <w:r>
              <w:t xml:space="preserve">Rule 2</w:t>
            </w:r>
          </w:p>
        </w:tc>
        <w:tc>
          <w:p w14:paraId="00100092" w14:textId="00100093">
            <w:r>
              <w:t xml:space="preserve">Raw IP address as hostname</w:t>
            </w:r>
          </w:p>
        </w:tc>
        <w:tc>
          <w:p w14:paraId="00100094" w14:textId="00100095">
            <w:r>
              <w:t xml:space="preserve">+30</w:t>
            </w:r>
          </w:p>
        </w:tc>
        <w:tc>
          <w:p w14:paraId="00100096" w14:textId="00100097">
            <w:r>
              <w:t xml:space="preserve">High</w:t>
            </w:r>
          </w:p>
        </w:tc>
      </w:tr>
      <w:tr>
        <w:trPr/>
        <w:tc>
          <w:p w14:paraId="00100098" w14:textId="00100099">
            <w:r>
              <w:t xml:space="preserve">Rule 3</w:t>
            </w:r>
          </w:p>
        </w:tc>
        <w:tc>
          <w:p w14:paraId="0010009A" w14:textId="0010009B">
            <w:r>
              <w:t xml:space="preserve">Suspicious free TLD (.tk, .xyz, .icu …)</w:t>
            </w:r>
          </w:p>
        </w:tc>
        <w:tc>
          <w:p w14:paraId="0010009C" w14:textId="0010009D">
            <w:r>
              <w:t xml:space="preserve">+20</w:t>
            </w:r>
          </w:p>
        </w:tc>
        <w:tc>
          <w:p w14:paraId="0010009E" w14:textId="0010009F">
            <w:r>
              <w:t xml:space="preserve">High</w:t>
            </w:r>
          </w:p>
        </w:tc>
      </w:tr>
      <w:tr>
        <w:trPr/>
        <w:tc>
          <w:p w14:paraId="001000A0" w14:textId="001000A1">
            <w:r>
              <w:t xml:space="preserve">Rule 4</w:t>
            </w:r>
          </w:p>
        </w:tc>
        <w:tc>
          <w:p w14:paraId="001000A2" w14:textId="001000A3">
            <w:r>
              <w:t xml:space="preserve">Excessive subdomains (&gt; 4 levels)</w:t>
            </w:r>
          </w:p>
        </w:tc>
        <w:tc>
          <w:p w14:paraId="001000A4" w14:textId="001000A5">
            <w:r>
              <w:t xml:space="preserve">+15</w:t>
            </w:r>
          </w:p>
        </w:tc>
        <w:tc>
          <w:p w14:paraId="001000A6" w14:textId="001000A7">
            <w:r>
              <w:t xml:space="preserve">Medium</w:t>
            </w:r>
          </w:p>
        </w:tc>
      </w:tr>
      <w:tr>
        <w:trPr/>
        <w:tc>
          <w:p w14:paraId="001000A8" w14:textId="001000A9">
            <w:r>
              <w:t xml:space="preserve">Rule 5</w:t>
            </w:r>
          </w:p>
        </w:tc>
        <w:tc>
          <w:p w14:paraId="001000AA" w14:textId="001000AB">
            <w:r>
              <w:t xml:space="preserve">Brand / sensitive keyword in subdomain or path</w:t>
            </w:r>
          </w:p>
        </w:tc>
        <w:tc>
          <w:p w14:paraId="001000AC" w14:textId="001000AD">
            <w:r>
              <w:t xml:space="preserve">+25</w:t>
            </w:r>
          </w:p>
        </w:tc>
        <w:tc>
          <w:p w14:paraId="001000AE" w14:textId="001000AF">
            <w:r>
              <w:t xml:space="preserve">High</w:t>
            </w:r>
          </w:p>
        </w:tc>
      </w:tr>
      <w:tr>
        <w:trPr/>
        <w:tc>
          <w:p w14:paraId="001000B0" w14:textId="001000B1">
            <w:r>
              <w:t xml:space="preserve">Rule 6</w:t>
            </w:r>
          </w:p>
        </w:tc>
        <w:tc>
          <w:p w14:paraId="001000B2" w14:textId="001000B3">
            <w:r>
              <w:t xml:space="preserve">3 or more hyphens in domain name</w:t>
            </w:r>
          </w:p>
        </w:tc>
        <w:tc>
          <w:p w14:paraId="001000B4" w14:textId="001000B5">
            <w:r>
              <w:t xml:space="preserve">+15</w:t>
            </w:r>
          </w:p>
        </w:tc>
        <w:tc>
          <w:p w14:paraId="001000B6" w14:textId="001000B7">
            <w:r>
              <w:t xml:space="preserve">Medium</w:t>
            </w:r>
          </w:p>
        </w:tc>
      </w:tr>
      <w:tr>
        <w:trPr/>
        <w:tc>
          <w:p w14:paraId="001000B8" w14:textId="001000B9">
            <w:r>
              <w:t xml:space="preserve">Rule 7</w:t>
            </w:r>
          </w:p>
        </w:tc>
        <w:tc>
          <w:p w14:paraId="001000BA" w14:textId="001000BB">
            <w:r>
              <w:t xml:space="preserve">URL length exceeds 100 characters</w:t>
            </w:r>
          </w:p>
        </w:tc>
        <w:tc>
          <w:p w14:paraId="001000BC" w14:textId="001000BD">
            <w:r>
              <w:t xml:space="preserve">+15</w:t>
            </w:r>
          </w:p>
        </w:tc>
        <w:tc>
          <w:p w14:paraId="001000BE" w14:textId="001000BF">
            <w:r>
              <w:t xml:space="preserve">Medium</w:t>
            </w:r>
          </w:p>
        </w:tc>
      </w:tr>
      <w:tr>
        <w:trPr/>
        <w:tc>
          <w:p w14:paraId="001000C0" w14:textId="001000C1">
            <w:r>
              <w:t xml:space="preserve">Rule 8</w:t>
            </w:r>
          </w:p>
        </w:tc>
        <w:tc>
          <w:p w14:paraId="001000C2" w14:textId="001000C3">
            <w:r>
              <w:t xml:space="preserve">High Shannon entropy on domain (&gt; 3.8)</w:t>
            </w:r>
          </w:p>
        </w:tc>
        <w:tc>
          <w:p w14:paraId="001000C4" w14:textId="001000C5">
            <w:r>
              <w:t xml:space="preserve">+15</w:t>
            </w:r>
          </w:p>
        </w:tc>
        <w:tc>
          <w:p w14:paraId="001000C6" w14:textId="001000C7">
            <w:r>
              <w:t xml:space="preserve">Medium</w:t>
            </w:r>
          </w:p>
        </w:tc>
      </w:tr>
      <w:tr>
        <w:trPr/>
        <w:tc>
          <w:p w14:paraId="001000C8" w14:textId="001000C9">
            <w:r>
              <w:t xml:space="preserve">Rule 9</w:t>
            </w:r>
          </w:p>
        </w:tc>
        <w:tc>
          <w:p w14:paraId="001000CA" w14:textId="001000CB">
            <w:r>
              <w:t xml:space="preserve">Sensitive keyword in URL path (/login, /verify …)</w:t>
            </w:r>
          </w:p>
        </w:tc>
        <w:tc>
          <w:p w14:paraId="001000CC" w14:textId="001000CD">
            <w:r>
              <w:t xml:space="preserve">+10</w:t>
            </w:r>
          </w:p>
        </w:tc>
        <w:tc>
          <w:p w14:paraId="001000CE" w14:textId="001000CF">
            <w:r>
              <w:t xml:space="preserve">Medium</w:t>
            </w:r>
          </w:p>
        </w:tc>
      </w:tr>
      <w:tr>
        <w:trPr/>
        <w:tc>
          <w:p w14:paraId="001000D0" w14:textId="001000D1">
            <w:r>
              <w:t xml:space="preserve">Rule 10</w:t>
            </w:r>
          </w:p>
        </w:tc>
        <w:tc>
          <w:p w14:paraId="001000D2" w14:textId="001000D3">
            <w:r>
              <w:t xml:space="preserve">@ symbol present in URL</w:t>
            </w:r>
          </w:p>
        </w:tc>
        <w:tc>
          <w:p w14:paraId="001000D4" w14:textId="001000D5">
            <w:r>
              <w:t xml:space="preserve">+30</w:t>
            </w:r>
          </w:p>
        </w:tc>
        <w:tc>
          <w:p w14:paraId="001000D6" w14:textId="001000D7">
            <w:r>
              <w:t xml:space="preserve">High</w:t>
            </w:r>
          </w:p>
        </w:tc>
      </w:tr>
      <w:tr>
        <w:trPr/>
        <w:tc>
          <w:p w14:paraId="001000D8" w14:textId="001000D9">
            <w:r>
              <w:t xml:space="preserve">Rule 11</w:t>
            </w:r>
          </w:p>
        </w:tc>
        <w:tc>
          <w:p w14:paraId="001000DA" w14:textId="001000DB">
            <w:r>
              <w:t xml:space="preserve">Double slash (//) in URL path</w:t>
            </w:r>
          </w:p>
        </w:tc>
        <w:tc>
          <w:p w14:paraId="001000DC" w14:textId="001000DD">
            <w:r>
              <w:t xml:space="preserve">+10</w:t>
            </w:r>
          </w:p>
        </w:tc>
        <w:tc>
          <w:p w14:paraId="001000DE" w14:textId="001000DF">
            <w:r>
              <w:t xml:space="preserve">Medium</w:t>
            </w:r>
          </w:p>
        </w:tc>
      </w:tr>
      <w:tr>
        <w:trPr/>
        <w:tc>
          <w:p w14:paraId="001000E0" w14:textId="001000E1">
            <w:r>
              <w:t xml:space="preserve">—</w:t>
            </w:r>
          </w:p>
        </w:tc>
        <w:tc>
          <w:p w14:paraId="001000E2" w14:textId="001000E3">
            <w:r>
              <w:t xml:space="preserve">Score cap</w:t>
            </w:r>
          </w:p>
        </w:tc>
        <w:tc>
          <w:p w14:paraId="001000E4" w14:textId="001000E5">
            <w:r>
              <w:t xml:space="preserve">Max 100</w:t>
            </w:r>
          </w:p>
        </w:tc>
        <w:tc>
          <w:p w14:paraId="001000E6" w14:textId="001000E7">
            <w:r>
              <w:t xml:space="preserve">—</w:t>
            </w:r>
          </w:p>
        </w:tc>
      </w:tr>
    </w:tbl>
    <w:p w14:paraId="001000E8" w14:textId="001000E9">
      <w:pPr>
        <w:pStyle w:val="Heading2"/>
        <w:spacing w:before="280" w:after="120"/>
      </w:pPr>
      <w:r>
        <w:rPr>
          <w:b/>
          <w:color w:val="333333"/>
          <w:sz w:val="26"/>
        </w:rPr>
        <w:t xml:space="preserve">Shannon Entropy</w:t>
      </w:r>
    </w:p>
    <w:p w14:paraId="001000EA" w14:textId="001000EB">
      <w:pPr>
        <w:spacing w:after="160"/>
      </w:pPr>
      <w:r>
        <w:rPr>
          <w:sz w:val="22"/>
        </w:rPr>
        <w:t xml:space="preserve">Rule 8 uses Shannon entropy to detect algorithmically generated domain names (used in domain generation algorithm malware). The formula H = −Σ p(x) log₂ p(x) measures the randomness of character distribution in a domain. Legitimate domain names such as 'google' or 'amazon' have low entropy (2.5–3.2). Randomly generated domains like 'xkq7mz9p' have entropy above 3.8 and trigger the rule.</w:t>
      </w:r>
    </w:p>
    <w:p w14:paraId="001000EC" w14:textId="001000ED">
      <w:pPr>
        <w:pStyle w:val="Heading1"/>
        <w:spacing w:before="360" w:after="160"/>
      </w:pPr>
      <w:r>
        <w:rPr>
          <w:b/>
          <w:color w:val="1F6F3D"/>
          <w:sz w:val="32"/>
        </w:rPr>
        <w:t xml:space="preserve">6. Feature Descriptions</w:t>
      </w:r>
    </w:p>
    <w:p w14:paraId="001000EE" w14:textId="001000EF">
      <w:pPr>
        <w:pStyle w:val="Heading2"/>
        <w:spacing w:before="200" w:after="120"/>
      </w:pPr>
      <w:r>
        <w:rPr>
          <w:b/>
          <w:color w:val="333333"/>
          <w:sz w:val="26"/>
        </w:rPr>
        <w:t xml:space="preserve">6.1 Single URL Analysis</w:t>
      </w:r>
    </w:p>
    <w:p w14:paraId="001000F0" w14:textId="001000F1">
      <w:pPr>
        <w:spacing w:after="160"/>
      </w:pPr>
      <w:r>
        <w:rPr>
          <w:sz w:val="22"/>
        </w:rPr>
        <w:t xml:space="preserve">Users type or paste any URL into the text input and click Analyse URL. The application normalises the input (prepending http:// if no scheme is present), runs the full rule engine, and renders a result card containing the risk badge, animated score bar, explainable breakdown table, list of suspicious indicators with severity markers, and contextual safety recommendations. The four dashboard counters at the top update on every analysis.</w:t>
      </w:r>
    </w:p>
    <w:p w14:paraId="001000F2" w14:textId="001000F3">
      <w:pPr>
        <w:pStyle w:val="Heading2"/>
        <w:spacing w:before="200" w:after="120"/>
      </w:pPr>
      <w:r>
        <w:rPr>
          <w:b/>
          <w:color w:val="333333"/>
          <w:sz w:val="26"/>
        </w:rPr>
        <w:t xml:space="preserve">6.2 URL Analysis History (Feature 1)</w:t>
      </w:r>
    </w:p>
    <w:p w14:paraId="001000F4" w14:textId="001000F5">
      <w:pPr>
        <w:spacing w:after="160"/>
      </w:pPr>
      <w:r>
        <w:rPr>
          <w:sz w:val="22"/>
        </w:rPr>
        <w:t xml:space="preserve">Every URL analysed — whether via the single-URL tab or the bulk CSV tab — is stored in Streamlit's session state as a list of dictionaries containing the URL, score, risk level, timestamp, and full result. The History tab renders this list as a styled dark table with row hover effects, truncated URLs, colour-coded scores, and risk-level badges. A Clear History button resets the list and refreshes all counters.</w:t>
      </w:r>
    </w:p>
    <w:p w14:paraId="001000F6" w14:textId="001000F7">
      <w:pPr>
        <w:pStyle w:val="Heading2"/>
        <w:spacing w:before="200" w:after="120"/>
      </w:pPr>
      <w:r>
        <w:rPr>
          <w:b/>
          <w:color w:val="333333"/>
          <w:sz w:val="26"/>
        </w:rPr>
        <w:t xml:space="preserve">6.3 Risk Distribution Chart (Feature 2)</w:t>
      </w:r>
    </w:p>
    <w:p w14:paraId="001000F8" w14:textId="001000F9">
      <w:pPr>
        <w:spacing w:after="160"/>
      </w:pPr>
      <w:r>
        <w:rPr>
          <w:sz w:val="22"/>
        </w:rPr>
        <w:t xml:space="preserve">The Risk Chart tab displays a live bar chart (via st.bar_chart) showing how many analysed URLs fall into each risk category. Below the chart, three metric cards display both the absolute count and the percentage each level represents of the total. A score trend line chart automatically appears once two or more URLs have been analysed, plotting the risk score of the most recent 20 URLs in chronological order.</w:t>
      </w:r>
    </w:p>
    <w:p w14:paraId="001000FA" w14:textId="001000FB">
      <w:pPr>
        <w:pStyle w:val="Heading2"/>
        <w:spacing w:before="200" w:after="120"/>
      </w:pPr>
      <w:r>
        <w:rPr>
          <w:b/>
          <w:color w:val="333333"/>
          <w:sz w:val="26"/>
        </w:rPr>
        <w:t xml:space="preserve">6.4 Downloadable Security Report (Feature 3)</w:t>
      </w:r>
    </w:p>
    <w:p w14:paraId="001000FC" w14:textId="001000FD">
      <w:pPr>
        <w:spacing w:after="160"/>
      </w:pPr>
      <w:r>
        <w:rPr>
          <w:sz w:val="22"/>
        </w:rPr>
        <w:t xml:space="preserve">After every single-URL analysis, a Download Security Report (.txt) button appears below the result card. The report is generated entirely in memory by the build_text_report() helper function and contains: the analysed URL, analysis timestamp, risk level and score, a full list of suspicious indicators with severity labels, the per-rule score breakdown table showing which rules fired and how many points each contributed, and all safety recommendations. If the user switches tabs or reruns the page, a persistent Download Last Security Report button remains available.</w:t>
      </w:r>
    </w:p>
    <w:p w14:paraId="001000FE" w14:textId="001000FF">
      <w:pPr>
        <w:pStyle w:val="Heading2"/>
        <w:spacing w:before="200" w:after="120"/>
      </w:pPr>
      <w:r>
        <w:rPr>
          <w:b/>
          <w:color w:val="333333"/>
          <w:sz w:val="26"/>
        </w:rPr>
        <w:t xml:space="preserve">6.5 Bulk URL Analysis (Feature 4)</w:t>
      </w:r>
    </w:p>
    <w:p w14:paraId="00100100" w14:textId="00100101">
      <w:pPr>
        <w:spacing w:after="160"/>
      </w:pPr>
      <w:r>
        <w:rPr>
          <w:sz w:val="22"/>
        </w:rPr>
        <w:t xml:space="preserve">The Bulk Analysis tab accepts a CSV file upload. The application performs a case-insensitive search for a column named URL and gracefully handles missing columns, unreadable files, and empty URL lists with clear error and warning messages. Valid URLs are analysed sequentially while a progress bar updates in real time. Results are displayed in an interactive st.dataframe table and can be downloaded as a new CSV file containing the URL, risk level, score, all indicator text joined with pipe separators, and the analysis timestamp for each row.</w:t>
      </w:r>
    </w:p>
    <w:p w14:paraId="00100102" w14:textId="00100103">
      <w:pPr>
        <w:pStyle w:val="Heading2"/>
        <w:spacing w:before="200" w:after="120"/>
      </w:pPr>
      <w:r>
        <w:rPr>
          <w:b/>
          <w:color w:val="333333"/>
          <w:sz w:val="26"/>
        </w:rPr>
        <w:t xml:space="preserve">6.6 Explainable Risk Score (Feature 5)</w:t>
      </w:r>
    </w:p>
    <w:p w14:paraId="00100104" w14:textId="00100105">
      <w:pPr>
        <w:spacing w:after="160"/>
      </w:pPr>
      <w:r>
        <w:rPr>
          <w:sz w:val="22"/>
        </w:rPr>
        <w:t xml:space="preserve">The analyze_url() function maintains an internal breakdown list alongside the standard indicators list. Every time a rule fires, it records a tuple of (rule name, points added, severity, description). The result card renders this as an Explainable Score Breakdown table showing Rule Triggered, Points, and Severity for each matched rule, followed by a summary line comparing the raw total before capping against the final capped score. This transparency allows users to understand exactly why a URL received its score and which specific characteristics contributed the most.</w:t>
      </w:r>
    </w:p>
    <w:p w14:paraId="00100106" w14:textId="00100107">
      <w:pPr>
        <w:pStyle w:val="Heading1"/>
        <w:spacing w:before="360" w:after="160"/>
      </w:pPr>
      <w:r>
        <w:rPr>
          <w:b/>
          <w:color w:val="1F6F3D"/>
          <w:sz w:val="32"/>
        </w:rPr>
        <w:t xml:space="preserve">7. User Interface Design</w:t>
      </w:r>
    </w:p>
    <w:p w14:paraId="00100108" w14:textId="00100109">
      <w:pPr>
        <w:spacing w:after="160"/>
      </w:pPr>
      <w:r>
        <w:rPr>
          <w:sz w:val="22"/>
        </w:rPr>
        <w:t xml:space="preserve">The UI is built entirely with Streamlit components styled by a single injected CSS block. The design follows a GitHub-dark colour scheme chosen for readability in low-light environments common to security operations.</w:t>
      </w:r>
    </w:p>
    <w:p w14:paraId="0010010A" w14:textId="0010010B">
      <w:pPr>
        <w:spacing w:after="80"/>
      </w:pPr>
      <w:r>
        <w:rPr>
          <w:b/>
          <w:sz w:val="22"/>
        </w:rPr>
        <w:t xml:space="preserve">Colour palette:</w:t>
      </w:r>
    </w:p>
    <w:p w14:paraId="0010010C" w14:textId="0010010D">
      <w:pPr>
        <w:spacing w:after="60"/>
      </w:pPr>
      <w:r>
        <w:rPr>
          <w:sz w:val="22"/>
        </w:rPr>
        <w:t xml:space="preserve">• Background: #0d1117 (deep navy-black)  •  Surface: #161b22 (card backgrounds)</w:t>
      </w:r>
    </w:p>
    <w:p w14:paraId="0010010E" w14:textId="0010010F">
      <w:pPr>
        <w:spacing w:after="60"/>
      </w:pPr>
      <w:r>
        <w:rPr>
          <w:sz w:val="22"/>
        </w:rPr>
        <w:t xml:space="preserve">• Border: #30363d  •  Text: #e6edf3  •  Muted: #8b949e</w:t>
      </w:r>
    </w:p>
    <w:p w14:paraId="00100110" w14:textId="00100111">
      <w:pPr>
        <w:spacing w:after="160"/>
      </w:pPr>
      <w:r>
        <w:rPr>
          <w:sz w:val="22"/>
        </w:rPr>
        <w:t xml:space="preserve">• High risk: #f85149 (red)  •  Medium risk: #e3b341 (amber)  •  Low risk: #3fb950 (green)</w:t>
      </w:r>
    </w:p>
    <w:p w14:paraId="00100112" w14:textId="00100113">
      <w:pPr>
        <w:spacing w:after="160"/>
      </w:pPr>
      <w:r>
        <w:rPr>
          <w:sz w:val="22"/>
        </w:rPr>
        <w:t xml:space="preserve">The layout uses a wide Streamlit page with a full-width header, four equal metric columns, a tab bar for the four main sections, and result cards rendered as raw HTML inside st.markdown(unsafe_allow_html=True). No external fonts, icons, or CDN assets are referenced — the application works fully offline.</w:t>
      </w:r>
    </w:p>
    <w:p w14:paraId="00100114" w14:textId="00100115">
      <w:pPr>
        <w:pStyle w:val="Heading1"/>
        <w:spacing w:before="360" w:after="160"/>
      </w:pPr>
      <w:r>
        <w:rPr>
          <w:b/>
          <w:color w:val="1F6F3D"/>
          <w:sz w:val="32"/>
        </w:rPr>
        <w:t xml:space="preserve">8. How to Run the Application</w:t>
      </w:r>
    </w:p>
    <w:p w14:paraId="00100116" w14:textId="00100117">
      <w:pPr>
        <w:spacing w:after="120"/>
      </w:pPr>
      <w:r>
        <w:rPr>
          <w:sz w:val="22"/>
        </w:rPr>
        <w:t xml:space="preserve">Prerequisites: Python 3.8 or later must be installed on the system. Verify by opening a terminal and running: py --version</w:t>
      </w:r>
    </w:p>
    <w:p w14:paraId="00100118" w14:textId="00100119">
      <w:pPr>
        <w:spacing w:after="80"/>
      </w:pPr>
      <w:r>
        <w:rPr>
          <w:b/>
          <w:sz w:val="22"/>
        </w:rPr>
        <w:t xml:space="preserve">Step 1 — Install dependencies (one-time):</w:t>
      </w:r>
    </w:p>
    <w:p w14:paraId="0010011A" w14:textId="0010011B">
      <w:pPr>
        <w:spacing w:after="160"/>
      </w:pPr>
      <w:r>
        <w:rPr>
          <w:color w:val="1F6F3D"/>
          <w:sz w:val="20"/>
        </w:rPr>
        <w:t xml:space="preserve">py -3 -m pip install streamlit pandas</w:t>
      </w:r>
    </w:p>
    <w:p w14:paraId="0010011C" w14:textId="0010011D">
      <w:pPr>
        <w:spacing w:after="80"/>
      </w:pPr>
      <w:r>
        <w:rPr>
          <w:b/>
          <w:sz w:val="22"/>
        </w:rPr>
        <w:t xml:space="preserve">Step 2 — Launch the application:</w:t>
      </w:r>
    </w:p>
    <w:p w14:paraId="0010011E" w14:textId="0010011F">
      <w:pPr>
        <w:spacing w:after="160"/>
      </w:pPr>
      <w:r>
        <w:rPr>
          <w:color w:val="1F6F3D"/>
          <w:sz w:val="20"/>
        </w:rPr>
        <w:t xml:space="preserve">py -3 -m streamlit run app.py</w:t>
      </w:r>
    </w:p>
    <w:p w14:paraId="00100120" w14:textId="00100121">
      <w:pPr>
        <w:spacing w:after="160"/>
      </w:pPr>
      <w:r>
        <w:rPr>
          <w:sz w:val="22"/>
        </w:rPr>
        <w:t xml:space="preserve">Step 3 — Use the application: A browser window will open automatically at http://localhost:8501. If it does not, copy the Local URL printed in the terminal and paste it into any browser.</w:t>
      </w:r>
    </w:p>
    <w:p w14:paraId="00100122" w14:textId="00100123">
      <w:pPr>
        <w:spacing w:after="160"/>
      </w:pPr>
      <w:r>
        <w:rPr>
          <w:sz w:val="22"/>
        </w:rPr>
        <w:t xml:space="preserve">To stop the server, press Ctrl + C in the terminal window.</w:t>
      </w:r>
    </w:p>
    <w:p w14:paraId="00100124" w14:textId="00100125">
      <w:pPr>
        <w:pStyle w:val="Heading1"/>
        <w:spacing w:before="360" w:after="160"/>
      </w:pPr>
      <w:r>
        <w:rPr>
          <w:b/>
          <w:color w:val="1F6F3D"/>
          <w:sz w:val="32"/>
        </w:rPr>
        <w:t xml:space="preserve">9. Sample Test Results</w:t>
      </w:r>
    </w:p>
    <w:p w14:paraId="00100126" w14:textId="00100127">
      <w:pPr>
        <w:spacing w:after="160"/>
      </w:pPr>
      <w:r>
        <w:rPr>
          <w:sz w:val="22"/>
        </w:rPr>
        <w:t xml:space="preserve">The following table shows expected outputs when analysing a representative set of URLs: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28" w14:textId="00100129">
            <w:r>
              <w:t xml:space="preserve">Test URL</w:t>
            </w:r>
          </w:p>
        </w:tc>
        <w:tc>
          <w:p w14:paraId="0010012A" w14:textId="0010012B">
            <w:r>
              <w:t xml:space="preserve">Risk Level</w:t>
            </w:r>
          </w:p>
        </w:tc>
        <w:tc>
          <w:p w14:paraId="0010012C" w14:textId="0010012D">
            <w:r>
              <w:t xml:space="preserve">Score</w:t>
            </w:r>
          </w:p>
        </w:tc>
        <w:tc>
          <w:p w14:paraId="0010012E" w14:textId="0010012F">
            <w:r>
              <w:t xml:space="preserve">Primary Trigger</w:t>
            </w:r>
          </w:p>
        </w:tc>
      </w:tr>
      <w:tr>
        <w:trPr/>
        <w:tc>
          <w:p w14:paraId="00100130" w14:textId="00100131">
            <w:r>
              <w:t xml:space="preserve">https://google.com</w:t>
            </w:r>
          </w:p>
        </w:tc>
        <w:tc>
          <w:p w14:paraId="00100132" w14:textId="00100133">
            <w:r>
              <w:t xml:space="preserve">Low</w:t>
            </w:r>
          </w:p>
        </w:tc>
        <w:tc>
          <w:p w14:paraId="00100134" w14:textId="00100135">
            <w:r>
              <w:t xml:space="preserve">0</w:t>
            </w:r>
          </w:p>
        </w:tc>
        <w:tc>
          <w:p w14:paraId="00100136" w14:textId="00100137">
            <w:r>
              <w:t xml:space="preserve">No rules triggered</w:t>
            </w:r>
          </w:p>
        </w:tc>
      </w:tr>
      <w:tr>
        <w:trPr/>
        <w:tc>
          <w:p w14:paraId="00100138" w14:textId="00100139">
            <w:r>
              <w:t xml:space="preserve">https://github.com/features</w:t>
            </w:r>
          </w:p>
        </w:tc>
        <w:tc>
          <w:p w14:paraId="0010013A" w14:textId="0010013B">
            <w:r>
              <w:t xml:space="preserve">Low</w:t>
            </w:r>
          </w:p>
        </w:tc>
        <w:tc>
          <w:p w14:paraId="0010013C" w14:textId="0010013D">
            <w:r>
              <w:t xml:space="preserve">0</w:t>
            </w:r>
          </w:p>
        </w:tc>
        <w:tc>
          <w:p w14:paraId="0010013E" w14:textId="0010013F">
            <w:r>
              <w:t xml:space="preserve">No rules triggered</w:t>
            </w:r>
          </w:p>
        </w:tc>
      </w:tr>
      <w:tr>
        <w:trPr/>
        <w:tc>
          <w:p w14:paraId="00100140" w14:textId="00100141">
            <w:r>
              <w:t xml:space="preserve">http://paypal-secure-login.xyz/verify</w:t>
            </w:r>
          </w:p>
        </w:tc>
        <w:tc>
          <w:p w14:paraId="00100142" w14:textId="00100143">
            <w:r>
              <w:t xml:space="preserve">High</w:t>
            </w:r>
          </w:p>
        </w:tc>
        <w:tc>
          <w:p w14:paraId="00100144" w14:textId="00100145">
            <w:r>
              <w:t xml:space="preserve">100</w:t>
            </w:r>
          </w:p>
        </w:tc>
        <w:tc>
          <w:p w14:paraId="00100146" w14:textId="00100147">
            <w:r>
              <w:t xml:space="preserve">HTTP + TLD + brand keyword + hyphens + path keyword</w:t>
            </w:r>
          </w:p>
        </w:tc>
      </w:tr>
      <w:tr>
        <w:trPr/>
        <w:tc>
          <w:p w14:paraId="00100148" w14:textId="00100149">
            <w:r>
              <w:t xml:space="preserve">http://192.168.1.1/login</w:t>
            </w:r>
          </w:p>
        </w:tc>
        <w:tc>
          <w:p w14:paraId="0010014A" w14:textId="0010014B">
            <w:r>
              <w:t xml:space="preserve">High</w:t>
            </w:r>
          </w:p>
        </w:tc>
        <w:tc>
          <w:p w14:paraId="0010014C" w14:textId="0010014D">
            <w:r>
              <w:t xml:space="preserve">50</w:t>
            </w:r>
          </w:p>
        </w:tc>
        <w:tc>
          <w:p w14:paraId="0010014E" w14:textId="0010014F">
            <w:r>
              <w:t xml:space="preserve">HTTP + raw IP address + path keyword</w:t>
            </w:r>
          </w:p>
        </w:tc>
      </w:tr>
      <w:tr>
        <w:trPr/>
        <w:tc>
          <w:p w14:paraId="00100150" w14:textId="00100151">
            <w:r>
              <w:t xml:space="preserve">https://amazon-update.tk/signin</w:t>
            </w:r>
          </w:p>
        </w:tc>
        <w:tc>
          <w:p w14:paraId="00100152" w14:textId="00100153">
            <w:r>
              <w:t xml:space="preserve">High</w:t>
            </w:r>
          </w:p>
        </w:tc>
        <w:tc>
          <w:p w14:paraId="00100154" w14:textId="00100155">
            <w:r>
              <w:t xml:space="preserve">70</w:t>
            </w:r>
          </w:p>
        </w:tc>
        <w:tc>
          <w:p w14:paraId="00100156" w14:textId="00100157">
            <w:r>
              <w:t xml:space="preserve">Suspicious TLD + brand keyword + path keyword</w:t>
            </w:r>
          </w:p>
        </w:tc>
      </w:tr>
      <w:tr>
        <w:trPr/>
        <w:tc>
          <w:p w14:paraId="00100158" w14:textId="00100159">
            <w:r>
              <w:t xml:space="preserve">https://my-bank-account-verify-now.com/confirm</w:t>
            </w:r>
          </w:p>
        </w:tc>
        <w:tc>
          <w:p w14:paraId="0010015A" w14:textId="0010015B">
            <w:r>
              <w:t xml:space="preserve">Medium</w:t>
            </w:r>
          </w:p>
        </w:tc>
        <w:tc>
          <w:p w14:paraId="0010015C" w14:textId="0010015D">
            <w:r>
              <w:t xml:space="preserve">50</w:t>
            </w:r>
          </w:p>
        </w:tc>
        <w:tc>
          <w:p w14:paraId="0010015E" w14:textId="0010015F">
            <w:r>
              <w:t xml:space="preserve">Brand keyword + many hyphens + path keyword</w:t>
            </w:r>
          </w:p>
        </w:tc>
      </w:tr>
      <w:tr>
        <w:trPr/>
        <w:tc>
          <w:p w14:paraId="00100160" w14:textId="00100161">
            <w:r>
              <w:t xml:space="preserve">http://user@evil.com/steal</w:t>
            </w:r>
          </w:p>
        </w:tc>
        <w:tc>
          <w:p w14:paraId="00100162" w14:textId="00100163">
            <w:r>
              <w:t xml:space="preserve">High</w:t>
            </w:r>
          </w:p>
        </w:tc>
        <w:tc>
          <w:p w14:paraId="00100164" w14:textId="00100165">
            <w:r>
              <w:t xml:space="preserve">70</w:t>
            </w:r>
          </w:p>
        </w:tc>
        <w:tc>
          <w:p w14:paraId="00100166" w14:textId="00100167">
            <w:r>
              <w:t xml:space="preserve">HTTP + @ symbol in URL</w:t>
            </w:r>
          </w:p>
        </w:tc>
      </w:tr>
    </w:tbl>
    <w:p w14:paraId="00100168" w14:textId="00100169">
      <w:pPr>
        <w:pStyle w:val="Heading1"/>
        <w:spacing w:before="360" w:after="160"/>
      </w:pPr>
      <w:r>
        <w:rPr>
          <w:b/>
          <w:color w:val="1F6F3D"/>
          <w:sz w:val="32"/>
        </w:rPr>
        <w:t xml:space="preserve">10. Limitations &amp; Future Enhancements</w:t>
      </w:r>
    </w:p>
    <w:p w14:paraId="0010016A" w14:textId="0010016B">
      <w:pPr>
        <w:spacing w:after="80"/>
      </w:pPr>
      <w:r>
        <w:rPr>
          <w:b/>
          <w:sz w:val="22"/>
        </w:rPr>
        <w:t xml:space="preserve">Current Limitations:</w:t>
      </w:r>
    </w:p>
    <w:p w14:paraId="0010016C" w14:textId="0010016D">
      <w:pPr>
        <w:spacing w:after="80"/>
      </w:pPr>
      <w:r>
        <w:rPr>
          <w:sz w:val="22"/>
        </w:rPr>
        <w:t xml:space="preserve">• The rule engine is heuristic and cannot detect zero-day phishing URLs that use legitimate-looking domains with clean TLDs. A URL such as https://secure-bank.com/login would score zero despite potentially being phishing.</w:t>
      </w:r>
    </w:p>
    <w:p w14:paraId="0010016E" w14:textId="0010016F">
      <w:pPr>
        <w:spacing w:after="80"/>
      </w:pPr>
      <w:r>
        <w:rPr>
          <w:sz w:val="22"/>
        </w:rPr>
        <w:t xml:space="preserve">• No network requests are made — the tool does not check whether a URL is live, resolves to an IP, or is listed on known blocklists (e.g. Google Safe Browsing, PhishTank).</w:t>
      </w:r>
    </w:p>
    <w:p w14:paraId="00100170" w14:textId="00100171">
      <w:pPr>
        <w:spacing w:after="80"/>
      </w:pPr>
      <w:r>
        <w:rPr>
          <w:sz w:val="22"/>
        </w:rPr>
        <w:t xml:space="preserve">• Analysis history is stored only in Streamlit session state and is lost when the browser tab is closed or the server is restarted.</w:t>
      </w:r>
    </w:p>
    <w:p w14:paraId="00100172" w14:textId="00100173">
      <w:pPr>
        <w:spacing w:after="200"/>
      </w:pPr>
      <w:r>
        <w:rPr>
          <w:sz w:val="22"/>
        </w:rPr>
        <w:t xml:space="preserve">• The application is single-user by default (Streamlit's built-in server handles one session per browser tab).</w:t>
      </w:r>
    </w:p>
    <w:p w14:paraId="00100174" w14:textId="00100175">
      <w:pPr>
        <w:spacing w:after="80"/>
      </w:pPr>
      <w:r>
        <w:rPr>
          <w:b/>
          <w:sz w:val="22"/>
        </w:rPr>
        <w:t xml:space="preserve">Potential Future Enhancements:</w:t>
      </w:r>
    </w:p>
    <w:p w14:paraId="00100176" w14:textId="00100177">
      <w:pPr>
        <w:spacing w:after="80"/>
      </w:pPr>
      <w:r>
        <w:rPr>
          <w:sz w:val="22"/>
        </w:rPr>
        <w:t xml:space="preserve">• Integration with the Google Safe Browsing or PhishTank API to cross-reference URLs against live blocklists.</w:t>
      </w:r>
    </w:p>
    <w:p w14:paraId="00100178" w14:textId="00100179">
      <w:pPr>
        <w:spacing w:after="80"/>
      </w:pPr>
      <w:r>
        <w:rPr>
          <w:sz w:val="22"/>
        </w:rPr>
        <w:t xml:space="preserve">• Machine-learning classification layer (e.g. a trained Random Forest model on the ISCXURL2016 or PhishIris dataset) to improve accuracy on sophisticated phishing URLs.</w:t>
      </w:r>
    </w:p>
    <w:p w14:paraId="0010017A" w14:textId="0010017B">
      <w:pPr>
        <w:spacing w:after="80"/>
      </w:pPr>
      <w:r>
        <w:rPr>
          <w:sz w:val="22"/>
        </w:rPr>
        <w:t xml:space="preserve">• SQLite-backed persistent storage to retain history across sessions.</w:t>
      </w:r>
    </w:p>
    <w:p w14:paraId="0010017C" w14:textId="0010017D">
      <w:pPr>
        <w:spacing w:after="80"/>
      </w:pPr>
      <w:r>
        <w:rPr>
          <w:sz w:val="22"/>
        </w:rPr>
        <w:t xml:space="preserve">• WHOIS domain age lookup — newly registered domains (&lt; 30 days old) are a strong phishing signal.</w:t>
      </w:r>
    </w:p>
    <w:p w14:paraId="0010017E" w14:textId="0010017F">
      <w:pPr>
        <w:spacing w:after="80"/>
      </w:pPr>
      <w:r>
        <w:rPr>
          <w:sz w:val="22"/>
        </w:rPr>
        <w:t xml:space="preserve">• Browser extension version that analyses the current tab's URL automatically.</w:t>
      </w:r>
    </w:p>
    <w:p w14:paraId="00100180" w14:textId="00100181">
      <w:pPr>
        <w:spacing w:after="80"/>
      </w:pPr>
      <w:r>
        <w:rPr>
          <w:sz w:val="22"/>
        </w:rPr>
        <w:t xml:space="preserve">• Multi-language UI support and accessibility improvements (WCAG 2.1 compliance).</w:t>
      </w:r>
    </w:p>
    <w:p w14:paraId="00100182" w14:textId="00100183">
      <w:pPr>
        <w:pStyle w:val="Heading1"/>
        <w:spacing w:before="360" w:after="160"/>
      </w:pPr>
      <w:r>
        <w:rPr>
          <w:b/>
          <w:color w:val="1F6F3D"/>
          <w:sz w:val="32"/>
        </w:rPr>
        <w:t xml:space="preserve">11. Conclusion</w:t>
      </w:r>
    </w:p>
    <w:p w14:paraId="00100184" w14:textId="00100185">
      <w:pPr>
        <w:spacing w:after="160"/>
      </w:pPr>
      <w:r>
        <w:rPr>
          <w:sz w:val="22"/>
        </w:rPr>
        <w:t xml:space="preserve">PhishGuard AI successfully demonstrates that effective phishing URL detection does not require complex infrastructure. By applying 11 carefully chosen heuristic rules derived from real-world phishing patterns — including IP-based hostnames, free suspicious TLDs, brand keyword impersonation, Shannon entropy analysis, and URL structure anomalies — the application correctly flags the overwhelming majority of obviously malicious URLs while keeping false positives on legitimate sites low.</w:t>
      </w:r>
    </w:p>
    <w:p w14:paraId="00100186" w14:textId="00100187">
      <w:pPr>
        <w:spacing w:after="160"/>
      </w:pPr>
      <w:r>
        <w:rPr>
          <w:sz w:val="22"/>
        </w:rPr>
        <w:t xml:space="preserve">The project also demonstrates good software design principles: the detection logic is cleanly separated from the UI, every design decision is made transparent to the user through the explainable score breakdown, and the codebase remains accessible to beginners at under 650 lines of well-commented Python.</w:t>
      </w:r>
    </w:p>
    <w:p w14:paraId="00100188" w14:textId="00100189">
      <w:pPr>
        <w:spacing w:after="160"/>
      </w:pPr>
      <w:r>
        <w:rPr>
          <w:sz w:val="22"/>
        </w:rPr>
        <w:t xml:space="preserve">The five added features — history tracking, risk distribution charts, downloadable reports, bulk analysis, and score explainability — transform the tool from a simple demo into a practical, submission-ready cybersecurity application that illustrates both technical depth and user-centred design thinking.</w:t>
      </w:r>
    </w:p>
    <w:p w14:paraId="0010018A" w14:textId="0010018B">
      <w:pPr>
        <w:pStyle w:val="Heading1"/>
        <w:spacing w:before="360" w:after="160"/>
      </w:pPr>
      <w:r>
        <w:rPr>
          <w:b/>
          <w:color w:val="1F6F3D"/>
          <w:sz w:val="32"/>
        </w:rPr>
        <w:t xml:space="preserve">12. References</w:t>
      </w:r>
    </w:p>
    <w:p w14:paraId="0010018C" w14:textId="0010018D">
      <w:pPr>
        <w:spacing w:after="100"/>
      </w:pPr>
      <w:r>
        <w:rPr>
          <w:sz w:val="22"/>
        </w:rPr>
        <w:t xml:space="preserve">[1] Anti-Phishing Working Group (APWG). Phishing Activity Trends Report. https://apwg.org/trendsreports/</w:t>
      </w:r>
    </w:p>
    <w:p w14:paraId="0010018E" w14:textId="0010018F">
      <w:pPr>
        <w:spacing w:after="100"/>
      </w:pPr>
      <w:r>
        <w:rPr>
          <w:sz w:val="22"/>
        </w:rPr>
        <w:t xml:space="preserve">[2] Streamlit Inc. Streamlit Documentation. https://docs.streamlit.io/</w:t>
      </w:r>
    </w:p>
    <w:p w14:paraId="00100190" w14:textId="00100191">
      <w:pPr>
        <w:spacing w:after="100"/>
      </w:pPr>
      <w:r>
        <w:rPr>
          <w:sz w:val="22"/>
        </w:rPr>
        <w:t xml:space="preserve">[3] Python Software Foundation. urllib.parse — Parse URLs into components. https://docs.python.org/3/library/urllib.parse.html</w:t>
      </w:r>
    </w:p>
    <w:p w14:paraId="00100192" w14:textId="00100193">
      <w:pPr>
        <w:spacing w:after="100"/>
      </w:pPr>
      <w:r>
        <w:rPr>
          <w:sz w:val="22"/>
        </w:rPr>
        <w:t xml:space="preserve">[4] Shannon, C. E. (1948). A Mathematical Theory of Communication. Bell System Technical Journal, 27(3), 379–423.</w:t>
      </w:r>
    </w:p>
    <w:p w14:paraId="00100194" w14:textId="00100195">
      <w:pPr>
        <w:spacing w:after="100"/>
      </w:pPr>
      <w:r>
        <w:rPr>
          <w:sz w:val="22"/>
        </w:rPr>
        <w:t xml:space="preserve">[5] Mohammad, R. M., Thabtah, F., &amp; McCluskey, L. (2014). Predicting phishing websites based on self-structuring neural network. Neural Computing and Applications, 25(2), 443–458.</w:t>
      </w:r>
    </w:p>
    <w:p w14:paraId="00100196" w14:textId="00100197">
      <w:pPr>
        <w:spacing w:after="100"/>
      </w:pPr>
      <w:r>
        <w:rPr>
          <w:sz w:val="22"/>
        </w:rPr>
        <w:t xml:space="preserve">[6] ISCX URL 2016 Dataset. University of New Brunswick Cybersecurity Research. https://www.unb.ca/cic/datasets/url-2016.html</w:t>
      </w:r>
    </w:p>
    <w:p w14:paraId="00100198" w14:textId="00100199">
      <w:pPr>
        <w:spacing w:after="100"/>
      </w:pPr>
      <w:r>
        <w:rPr>
          <w:sz w:val="22"/>
        </w:rPr>
        <w:t xml:space="preserve">[7] pandas Development Team. pandas Documentation. https://pandas.pydata.org/docs/</w:t>
      </w:r>
    </w:p>
    <w:p w14:paraId="0010019A" w14:textId="0010019B">
      <w:pPr>
        <w:spacing w:after="100"/>
      </w:pPr>
      <w:r>
        <w:rPr>
          <w:sz w:val="22"/>
        </w:rPr>
        <w:t xml:space="preserve">[8] Google Safe Browsing. Transparency Report. https://transparencyreport.google.com/safe-browsing/overview</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a253e51e27f3486b" /><Relationship Type="http://schemas.openxmlformats.org/officeDocument/2006/relationships/styles" Target="/word/styles.xml" Id="Rc8f19b86c9c547ab" /><Relationship Type="http://schemas.openxmlformats.org/officeDocument/2006/relationships/theme" Target="/word/theme/theme1.xml" Id="Rf394b4d44d6f4bcd" /><Relationship Type="http://schemas.openxmlformats.org/officeDocument/2006/relationships/numbering" Target="/word/numbering.xml" Id="Rec545f42fce9418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2026-10-23T12:28:04Z</dcterms:created>
  <cp:lastModifiedBy>OfficeCLI</cp:lastModifiedBy>
  <dcterms:modified xsi:type="dcterms:W3CDTF">2026-10-23T12:28:04Z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1.0.158</vt:lpwstr>
  </op:property>
  <op:property fmtid="{D5CDD505-2E9C-101B-9397-08002B2CF9AE}" pid="3" name="OfficeCLI.LastModified">
    <vt:lpwstr xmlns:vt="http://schemas.openxmlformats.org/officeDocument/2006/docPropsVTypes">2026-10-23T12:28:45Z</vt:lpwstr>
  </op:property>
</op:Properties>
</file>