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Wasselne Architecture Diagrams</w:t>
      </w:r>
    </w:p>
    <w:p>
      <w:pPr>
        <w:spacing w:after="200"/>
      </w:pPr>
      <w:r>
        <w:t>Presents nine rendered architecture figures spanning the BRS, HLD and LLD. Each view identifies its requirement and design references so reviewers can connect the pictures to the written specifications.</w:t>
      </w:r>
    </w:p>
    <w:p>
      <w:r>
        <w:rPr>
          <w:rFonts w:ascii="DejaVu Sans" w:hAnsi="DejaVu Sans"/>
          <w:b/>
          <w:i w:val="0"/>
          <w:color w:val="000000"/>
          <w:sz w:val="20"/>
        </w:rPr>
        <w:t xml:space="preserve">Status  </w:t>
      </w:r>
      <w:r>
        <w:rPr>
          <w:rFonts w:ascii="DejaVu Sans" w:hAnsi="DejaVu Sans"/>
          <w:b w:val="0"/>
          <w:i w:val="0"/>
          <w:color w:val="000000"/>
          <w:sz w:val="20"/>
        </w:rPr>
        <w:t>For owner review</w:t>
      </w:r>
    </w:p>
    <w:p>
      <w:pPr>
        <w:spacing w:after="200"/>
      </w:pPr>
      <w:r>
        <w:rPr>
          <w:rFonts w:ascii="DejaVu Sans" w:hAnsi="DejaVu Sans"/>
          <w:b w:val="0"/>
          <w:i w:val="0"/>
          <w:color w:val="000000"/>
          <w:sz w:val="19"/>
        </w:rPr>
        <w:t>Word edition 0.2  |  Source baseline 0.1  |  23 September 2026</w:t>
      </w:r>
    </w:p>
    <w:p>
      <w:pPr>
        <w:pStyle w:val="Heading2"/>
      </w:pPr>
      <w:r>
        <w:t>Contents</w:t>
      </w:r>
    </w:p>
    <w:p>
      <w:pPr>
        <w:spacing w:after="40" w:line="247" w:lineRule="auto"/>
      </w:pPr>
      <w:hyperlink w:anchor="Architecture_Diagrams_1">
        <w:r>
          <w:rPr>
            <w:rFonts w:ascii="DejaVu Sans" w:hAnsi="DejaVu Sans"/>
            <w:sz w:val="20"/>
            <w:color w:val="000000"/>
          </w:rPr>
          <w:t>BRS view business scope</w:t>
        </w:r>
      </w:hyperlink>
    </w:p>
    <w:p>
      <w:pPr>
        <w:spacing w:after="40" w:line="247" w:lineRule="auto"/>
      </w:pPr>
      <w:hyperlink w:anchor="Architecture_Diagrams_2">
        <w:r>
          <w:rPr>
            <w:rFonts w:ascii="DejaVu Sans" w:hAnsi="DejaVu Sans"/>
            <w:sz w:val="20"/>
            <w:color w:val="000000"/>
          </w:rPr>
          <w:t>HLD views logical responsibilities and runtime</w:t>
        </w:r>
      </w:hyperlink>
    </w:p>
    <w:p>
      <w:pPr>
        <w:spacing w:after="40" w:line="247" w:lineRule="auto"/>
      </w:pPr>
      <w:hyperlink w:anchor="Architecture_Diagrams_3">
        <w:r>
          <w:rPr>
            <w:rFonts w:ascii="DejaVu Sans" w:hAnsi="DejaVu Sans"/>
            <w:sz w:val="20"/>
            <w:color w:val="000000"/>
          </w:rPr>
          <w:t>LLD views offers records and critical workflows</w:t>
        </w:r>
      </w:hyperlink>
    </w:p>
    <w:p>
      <w:pPr>
        <w:spacing w:after="40" w:line="247" w:lineRule="auto"/>
      </w:pPr>
      <w:hyperlink w:anchor="Architecture_Diagrams_4">
        <w:r>
          <w:rPr>
            <w:rFonts w:ascii="DejaVu Sans" w:hAnsi="DejaVu Sans"/>
            <w:sz w:val="20"/>
            <w:color w:val="000000"/>
          </w:rPr>
          <w:t>Requirements traceability matrix</w:t>
        </w:r>
      </w:hyperlink>
    </w:p>
    <w:p>
      <w:r>
        <w:rPr>
          <w:rFonts w:ascii="DejaVu Sans" w:hAnsi="DejaVu Sans"/>
          <w:b w:val="0"/>
          <w:i w:val="0"/>
          <w:color w:val="000000"/>
          <w:sz w:val="20"/>
        </w:rPr>
        <w:t>Figures D01 to D09 provide the business, component, deployment, sequence, state and data views.</w:t>
      </w:r>
    </w:p>
    <w:p>
      <w:r>
        <w:br w:type="page"/>
      </w:r>
    </w:p>
    <w:p>
      <w:bookmarkStart w:id="27179" w:name="Architecture_Diagrams_1"/>
      <w:pPr>
        <w:pStyle w:val="Heading1"/>
        <w:pageBreakBefore w:val="0"/>
      </w:pPr>
      <w:r>
        <w:t>BRS view business scope</w:t>
      </w:r>
      <w:bookmarkEnd w:id="27179"/>
    </w:p>
    <w:p>
      <w:pPr>
        <w:pStyle w:val="Heading2"/>
        <w:pageBreakBefore w:val="0"/>
      </w:pPr>
      <w:r>
        <w:t>D 01 People service and external responsibilities</w:t>
      </w:r>
    </w:p>
    <w:p>
      <w:pPr>
        <w:keepNext/>
        <w:spacing w:after="100"/>
        <w:jc w:val="center"/>
      </w:pPr>
      <w:r>
        <w:drawing>
          <wp:inline xmlns:a="http://schemas.openxmlformats.org/drawingml/2006/main" xmlns:pic="http://schemas.openxmlformats.org/drawingml/2006/picture">
            <wp:extent cx="6492240" cy="5472030"/>
            <wp:docPr id="1" name="Picture 1" descr="D-01 architecture diagram"/>
            <wp:cNvGraphicFramePr>
              <a:graphicFrameLocks noChangeAspect="1"/>
            </wp:cNvGraphicFramePr>
            <a:graphic>
              <a:graphicData uri="http://schemas.openxmlformats.org/drawingml/2006/picture">
                <pic:pic>
                  <pic:nvPicPr>
                    <pic:cNvPr id="0" name="D-01.png"/>
                    <pic:cNvPicPr/>
                  </pic:nvPicPr>
                  <pic:blipFill>
                    <a:blip r:embed="rId11"/>
                    <a:stretch>
                      <a:fillRect/>
                    </a:stretch>
                  </pic:blipFill>
                  <pic:spPr>
                    <a:xfrm>
                      <a:off x="0" y="0"/>
                      <a:ext cx="6492240" cy="5472030"/>
                    </a:xfrm>
                    <a:prstGeom prst="rect"/>
                  </pic:spPr>
                </pic:pic>
              </a:graphicData>
            </a:graphic>
          </wp:inline>
        </w:drawing>
      </w:r>
    </w:p>
    <w:p>
      <w:r>
        <w:rPr>
          <w:rFonts w:ascii="DejaVu Sans" w:hAnsi="DejaVu Sans"/>
          <w:b/>
          <w:i w:val="0"/>
          <w:color w:val="000000"/>
        </w:rPr>
        <w:t>Scope within the platform:</w:t>
      </w:r>
      <w:r>
        <w:rPr>
          <w:rFonts w:ascii="DejaVu Sans" w:hAnsi="DejaVu Sans"/>
          <w:b w:val="0"/>
          <w:i w:val="0"/>
          <w:color w:val="000000"/>
        </w:rPr>
        <w:t xml:space="preserve"> selected car/taxi, motorcycle and tuk-tuk categories; Arabic, English and French selection; saved places; CMS fares; one-driver-at-a-time offers; trip tracking; cash; post-confirmation ordinary calls; translated chat; configurable SOS; two-way reviews; and lost-item / vehicle mess or damage support. Staged city activation is controlled by approved area polygons. Scheduled booking and active OMT, Wish/Whish or bank payment are outside the enabled first-release flow. A public kiosk booking journey is </w:t>
      </w:r>
      <w:r>
        <w:rPr>
          <w:rFonts w:ascii="DejaVu Sans" w:hAnsi="DejaVu Sans"/>
          <w:b/>
          <w:i w:val="0"/>
          <w:color w:val="000000"/>
        </w:rPr>
        <w:t>TBD</w:t>
      </w:r>
      <w:r>
        <w:rPr>
          <w:rFonts w:ascii="DejaVu Sans" w:hAnsi="DejaVu Sans"/>
          <w:b w:val="0"/>
          <w:i w:val="0"/>
          <w:color w:val="000000"/>
        </w:rPr>
        <w:t>; adaptive screen layouts do not imply a live kiosk workflow.</w:t>
      </w:r>
    </w:p>
    <w:p>
      <w:r>
        <w:rPr>
          <w:rFonts w:ascii="DejaVu Sans" w:hAnsi="DejaVu Sans"/>
          <w:b/>
          <w:i w:val="0"/>
          <w:color w:val="000000"/>
        </w:rPr>
        <w:t>Trace:</w:t>
      </w:r>
      <w:r>
        <w:rPr>
          <w:rFonts w:ascii="DejaVu Sans" w:hAnsi="DejaVu Sans"/>
          <w:b w:val="0"/>
          <w:i w:val="0"/>
          <w:color w:val="000000"/>
        </w:rPr>
        <w:t xml:space="preserve"> BG-01–05; BR-01–49; NFR-06, NFR-10–11. D-01 identifies the business actors and boundaries; the diagrams below detail how specific requirements are fulfilled.</w:t>
      </w:r>
    </w:p>
    <w:p>
      <w:bookmarkStart w:id="27202" w:name="Architecture_Diagrams_2"/>
      <w:pPr>
        <w:pStyle w:val="Heading1"/>
        <w:pageBreakBefore/>
      </w:pPr>
      <w:r>
        <w:t>HLD views logical responsibilities and runtime</w:t>
      </w:r>
      <w:bookmarkEnd w:id="27202"/>
    </w:p>
    <w:p>
      <w:pPr>
        <w:pStyle w:val="Heading2"/>
        <w:pageBreakBefore w:val="0"/>
      </w:pPr>
      <w:r>
        <w:t>D 02 Booking location and dispatch components</w:t>
      </w:r>
    </w:p>
    <w:p>
      <w:pPr>
        <w:keepNext/>
        <w:spacing w:after="100"/>
        <w:jc w:val="center"/>
      </w:pPr>
      <w:r>
        <w:drawing>
          <wp:inline xmlns:a="http://schemas.openxmlformats.org/drawingml/2006/main" xmlns:pic="http://schemas.openxmlformats.org/drawingml/2006/picture">
            <wp:extent cx="5867399" cy="5532120"/>
            <wp:docPr id="2" name="Picture 2" descr="D-02 architecture diagram"/>
            <wp:cNvGraphicFramePr>
              <a:graphicFrameLocks noChangeAspect="1"/>
            </wp:cNvGraphicFramePr>
            <a:graphic>
              <a:graphicData uri="http://schemas.openxmlformats.org/drawingml/2006/picture">
                <pic:pic>
                  <pic:nvPicPr>
                    <pic:cNvPr id="0" name="D-02.png"/>
                    <pic:cNvPicPr/>
                  </pic:nvPicPr>
                  <pic:blipFill>
                    <a:blip r:embed="rId12"/>
                    <a:stretch>
                      <a:fillRect/>
                    </a:stretch>
                  </pic:blipFill>
                  <pic:spPr>
                    <a:xfrm>
                      <a:off x="0" y="0"/>
                      <a:ext cx="5867399" cy="5532120"/>
                    </a:xfrm>
                    <a:prstGeom prst="rect"/>
                  </pic:spPr>
                </pic:pic>
              </a:graphicData>
            </a:graphic>
          </wp:inline>
        </w:drawing>
      </w:r>
    </w:p>
    <w:p>
      <w:r>
        <w:rPr>
          <w:rFonts w:ascii="DejaVu Sans" w:hAnsi="DejaVu Sans"/>
          <w:b w:val="0"/>
          <w:i w:val="0"/>
          <w:color w:val="000000"/>
        </w:rPr>
        <w:t xml:space="preserve">The backend checks live eligibility and database offer/assignment state after a Redis nearby-driver shortlist. Redis never decides whether an offer is valid or a ride is assigned. Maps provides routes and road ETA, not assignment authority. Workers recover from durable deadlines and outbox records. The driver app obtains the </w:t>
      </w:r>
      <w:r>
        <w:rPr>
          <w:rFonts w:ascii="DejaVu Sans" w:hAnsi="DejaVu Sans"/>
          <w:b/>
          <w:i w:val="0"/>
          <w:color w:val="000000"/>
        </w:rPr>
        <w:t>same CMS fare snapshot</w:t>
      </w:r>
      <w:r>
        <w:rPr>
          <w:rFonts w:ascii="DejaVu Sans" w:hAnsi="DejaVu Sans"/>
          <w:b w:val="0"/>
          <w:i w:val="0"/>
          <w:color w:val="000000"/>
        </w:rPr>
        <w:t xml:space="preserve"> the rider saw; it has no price-entry flow.</w:t>
      </w:r>
    </w:p>
    <w:p>
      <w:r>
        <w:rPr>
          <w:rFonts w:ascii="DejaVu Sans" w:hAnsi="DejaVu Sans"/>
          <w:b/>
          <w:i w:val="0"/>
          <w:color w:val="000000"/>
        </w:rPr>
        <w:t>Trace:</w:t>
      </w:r>
      <w:r>
        <w:rPr>
          <w:rFonts w:ascii="DejaVu Sans" w:hAnsi="DejaVu Sans"/>
          <w:b w:val="0"/>
          <w:i w:val="0"/>
          <w:color w:val="000000"/>
        </w:rPr>
        <w:t xml:space="preserve"> HLD-01–02, HLD-04, HLD-07–14, HLD-19–20, HLD-22; LLD-01–02, LLD-04–07, LLD-09–10; BR-07–29, BR-45–46; NFR-01–03, NFR-07–08, NFR-12.</w:t>
      </w:r>
    </w:p>
    <w:p>
      <w:pPr>
        <w:pStyle w:val="Heading2"/>
        <w:pageBreakBefore/>
      </w:pPr>
      <w:r>
        <w:t>D 03 Operations communication and safety components</w:t>
      </w:r>
    </w:p>
    <w:p>
      <w:pPr>
        <w:keepNext/>
        <w:spacing w:after="100"/>
        <w:jc w:val="center"/>
      </w:pPr>
      <w:r>
        <w:drawing>
          <wp:inline xmlns:a="http://schemas.openxmlformats.org/drawingml/2006/main" xmlns:pic="http://schemas.openxmlformats.org/drawingml/2006/picture">
            <wp:extent cx="6146800" cy="5532120"/>
            <wp:docPr id="3" name="Picture 3" descr="D-03 architecture diagram"/>
            <wp:cNvGraphicFramePr>
              <a:graphicFrameLocks noChangeAspect="1"/>
            </wp:cNvGraphicFramePr>
            <a:graphic>
              <a:graphicData uri="http://schemas.openxmlformats.org/drawingml/2006/picture">
                <pic:pic>
                  <pic:nvPicPr>
                    <pic:cNvPr id="0" name="D-03.png"/>
                    <pic:cNvPicPr/>
                  </pic:nvPicPr>
                  <pic:blipFill>
                    <a:blip r:embed="rId13"/>
                    <a:stretch>
                      <a:fillRect/>
                    </a:stretch>
                  </pic:blipFill>
                  <pic:spPr>
                    <a:xfrm>
                      <a:off x="0" y="0"/>
                      <a:ext cx="6146800" cy="5532120"/>
                    </a:xfrm>
                    <a:prstGeom prst="rect"/>
                  </pic:spPr>
                </pic:pic>
              </a:graphicData>
            </a:graphic>
          </wp:inline>
        </w:drawing>
      </w:r>
    </w:p>
    <w:p>
      <w:r>
        <w:rPr>
          <w:rFonts w:ascii="DejaVu Sans" w:hAnsi="DejaVu Sans"/>
          <w:b w:val="0"/>
          <w:i w:val="0"/>
          <w:color w:val="000000"/>
        </w:rPr>
        <w:t>Staff publish versioned area, category, fare/currency and SOS policies under role-based permissions with an audit record. A ride preserves the agreed fare/currency version. Driver documents and case evidence remain private. Chat keeps the original text beside any translation. SOS reports the observed action status and requires an actual staffing and response policy before an alert choice is enabled. Ordinary telephone calls use the device dialer after confirmation; no phone masking is promised. Lost-item and driver damage reports create reviewable support cases, never an automatic rider charge.</w:t>
      </w:r>
    </w:p>
    <w:p>
      <w:r>
        <w:rPr>
          <w:rFonts w:ascii="DejaVu Sans" w:hAnsi="DejaVu Sans"/>
          <w:b/>
          <w:i w:val="0"/>
          <w:color w:val="000000"/>
        </w:rPr>
        <w:t>Trace:</w:t>
      </w:r>
      <w:r>
        <w:rPr>
          <w:rFonts w:ascii="DejaVu Sans" w:hAnsi="DejaVu Sans"/>
          <w:b w:val="0"/>
          <w:i w:val="0"/>
          <w:color w:val="000000"/>
        </w:rPr>
        <w:t xml:space="preserve"> HLD-01–07, HLD-11, HLD-14–18, HLD-19, HLD-21–23; LLD-01–05, LLD-07–10; BR-01–08, BR-14–16, BR-24–25, BR-30–49; NFR-04–07, NFR-09–11.</w:t>
      </w:r>
    </w:p>
    <w:p>
      <w:pPr>
        <w:pStyle w:val="Heading2"/>
        <w:pageBreakBefore/>
      </w:pPr>
      <w:r>
        <w:t>D 04 Deployment and failure boundaries</w:t>
      </w:r>
    </w:p>
    <w:p>
      <w:pPr>
        <w:keepNext/>
        <w:spacing w:after="100"/>
        <w:jc w:val="center"/>
      </w:pPr>
      <w:r>
        <w:drawing>
          <wp:inline xmlns:a="http://schemas.openxmlformats.org/drawingml/2006/main" xmlns:pic="http://schemas.openxmlformats.org/drawingml/2006/picture">
            <wp:extent cx="5532120" cy="5532120"/>
            <wp:docPr id="4" name="Picture 4" descr="D-04 architecture diagram"/>
            <wp:cNvGraphicFramePr>
              <a:graphicFrameLocks noChangeAspect="1"/>
            </wp:cNvGraphicFramePr>
            <a:graphic>
              <a:graphicData uri="http://schemas.openxmlformats.org/drawingml/2006/picture">
                <pic:pic>
                  <pic:nvPicPr>
                    <pic:cNvPr id="0" name="D-04.png"/>
                    <pic:cNvPicPr/>
                  </pic:nvPicPr>
                  <pic:blipFill>
                    <a:blip r:embed="rId14"/>
                    <a:stretch>
                      <a:fillRect/>
                    </a:stretch>
                  </pic:blipFill>
                  <pic:spPr>
                    <a:xfrm>
                      <a:off x="0" y="0"/>
                      <a:ext cx="5532120" cy="5532120"/>
                    </a:xfrm>
                    <a:prstGeom prst="rect"/>
                  </pic:spPr>
                </pic:pic>
              </a:graphicData>
            </a:graphic>
          </wp:inline>
        </w:drawing>
      </w:r>
    </w:p>
    <w:p>
      <w:r>
        <w:rPr>
          <w:rFonts w:ascii="DejaVu Sans" w:hAnsi="DejaVu Sans"/>
          <w:b w:val="0"/>
          <w:i w:val="0"/>
          <w:color w:val="000000"/>
        </w:rPr>
        <w:t xml:space="preserve">API/WebSocket processes and workers are deployment roles from </w:t>
      </w:r>
      <w:r>
        <w:rPr>
          <w:rFonts w:ascii="DejaVu Sans" w:hAnsi="DejaVu Sans"/>
          <w:b/>
          <w:i w:val="0"/>
          <w:color w:val="000000"/>
        </w:rPr>
        <w:t>one modular monolith</w:t>
      </w:r>
      <w:r>
        <w:rPr>
          <w:rFonts w:ascii="DejaVu Sans" w:hAnsi="DejaVu Sans"/>
          <w:b w:val="0"/>
          <w:i w:val="0"/>
          <w:color w:val="000000"/>
        </w:rPr>
        <w:t xml:space="preserve">. Production placement, cloud vendor, region, numerical availability targets, RPO/RTO and exact service sizing are </w:t>
      </w:r>
      <w:r>
        <w:rPr>
          <w:rFonts w:ascii="DejaVu Sans" w:hAnsi="DejaVu Sans"/>
          <w:b/>
          <w:i w:val="0"/>
          <w:color w:val="000000"/>
        </w:rPr>
        <w:t>TBD</w:t>
      </w:r>
      <w:r>
        <w:rPr>
          <w:rFonts w:ascii="DejaVu Sans" w:hAnsi="DejaVu Sans"/>
          <w:b w:val="0"/>
          <w:i w:val="0"/>
          <w:color w:val="000000"/>
        </w:rPr>
        <w:t>. DB failover can interrupt new acceptances; the system must not approve a ride from Redis during that interruption. Clients recover from server snapshots after reconnect. Development, staging, production, monitoring, backups, restoration exercises and controlled releases remain part of the platform plan.</w:t>
      </w:r>
    </w:p>
    <w:p>
      <w:r>
        <w:rPr>
          <w:rFonts w:ascii="DejaVu Sans" w:hAnsi="DejaVu Sans"/>
          <w:b/>
          <w:i w:val="0"/>
          <w:color w:val="000000"/>
        </w:rPr>
        <w:t>Trace:</w:t>
      </w:r>
      <w:r>
        <w:rPr>
          <w:rFonts w:ascii="DejaVu Sans" w:hAnsi="DejaVu Sans"/>
          <w:b w:val="0"/>
          <w:i w:val="0"/>
          <w:color w:val="000000"/>
        </w:rPr>
        <w:t xml:space="preserve"> HLD-04, HLD-08–10, HLD-14, HLD-19–24; LLD-04, LLD-06, LLD-09–10; BR-12–13, BR-17–22; NFR-01–05, NFR-07–08, NFR-12.</w:t>
      </w:r>
    </w:p>
    <w:p>
      <w:bookmarkStart w:id="27225" w:name="Architecture_Diagrams_3"/>
      <w:pPr>
        <w:pStyle w:val="Heading1"/>
        <w:pageBreakBefore/>
      </w:pPr>
      <w:r>
        <w:t>LLD views offers records and critical workflows</w:t>
      </w:r>
      <w:bookmarkEnd w:id="27225"/>
    </w:p>
    <w:p>
      <w:pPr>
        <w:pStyle w:val="Heading2"/>
        <w:pageBreakBefore w:val="0"/>
      </w:pPr>
      <w:r>
        <w:t>D 05 Exclusive offer and three second clock</w:t>
      </w:r>
    </w:p>
    <w:p>
      <w:pPr>
        <w:keepNext/>
        <w:spacing w:after="100"/>
        <w:jc w:val="center"/>
      </w:pPr>
      <w:r>
        <w:drawing>
          <wp:inline xmlns:a="http://schemas.openxmlformats.org/drawingml/2006/main" xmlns:pic="http://schemas.openxmlformats.org/drawingml/2006/picture">
            <wp:extent cx="5095373" cy="5532120"/>
            <wp:docPr id="5" name="Picture 5" descr="D-05 architecture diagram"/>
            <wp:cNvGraphicFramePr>
              <a:graphicFrameLocks noChangeAspect="1"/>
            </wp:cNvGraphicFramePr>
            <a:graphic>
              <a:graphicData uri="http://schemas.openxmlformats.org/drawingml/2006/picture">
                <pic:pic>
                  <pic:nvPicPr>
                    <pic:cNvPr id="0" name="D-05.png"/>
                    <pic:cNvPicPr/>
                  </pic:nvPicPr>
                  <pic:blipFill>
                    <a:blip r:embed="rId15"/>
                    <a:stretch>
                      <a:fillRect/>
                    </a:stretch>
                  </pic:blipFill>
                  <pic:spPr>
                    <a:xfrm>
                      <a:off x="0" y="0"/>
                      <a:ext cx="5095373" cy="5532120"/>
                    </a:xfrm>
                    <a:prstGeom prst="rect"/>
                  </pic:spPr>
                </pic:pic>
              </a:graphicData>
            </a:graphic>
          </wp:inline>
        </w:drawing>
      </w:r>
    </w:p>
    <w:p>
      <w:r>
        <w:rPr>
          <w:rFonts w:ascii="DejaVu Sans" w:hAnsi="DejaVu Sans"/>
          <w:b w:val="0"/>
          <w:i w:val="0"/>
          <w:color w:val="000000"/>
        </w:rPr>
        <w:t xml:space="preserve">The worker-to-app arrow represents attempted delivery; it does </w:t>
      </w:r>
      <w:r>
        <w:rPr>
          <w:rFonts w:ascii="DejaVu Sans" w:hAnsi="DejaVu Sans"/>
          <w:b/>
          <w:i w:val="0"/>
          <w:color w:val="000000"/>
        </w:rPr>
        <w:t>not</w:t>
      </w:r>
      <w:r>
        <w:rPr>
          <w:rFonts w:ascii="DejaVu Sans" w:hAnsi="DejaVu Sans"/>
          <w:b w:val="0"/>
          <w:i w:val="0"/>
          <w:color w:val="000000"/>
        </w:rPr>
        <w:t xml:space="preserve"> establish receipt or start the three seconds. An authenticated app ACK starts the three-second window from </w:t>
      </w:r>
      <w:r>
        <w:rPr>
          <w:rFonts w:ascii="DejaVu Sans" w:hAnsi="DejaVu Sans"/>
          <w:b/>
          <w:i w:val="0"/>
          <w:color w:val="000000"/>
        </w:rPr>
        <w:t>database time</w:t>
      </w:r>
      <w:r>
        <w:rPr>
          <w:rFonts w:ascii="DejaVu Sans" w:hAnsi="DejaVu Sans"/>
          <w:b w:val="0"/>
          <w:i w:val="0"/>
          <w:color w:val="000000"/>
        </w:rPr>
        <w:t xml:space="preserve">; repeated ACKs return the original deadline. Expired or late acceptances fail even if an old push arrives. Candidate lookup uses Redis GEOSEARCH before the first reservation transaction; the final eligibility, sole offer and sole assignment checks occur in PostgreSQL. Delivery-ACK timeout, reoffer cap, rider search limit and background-driver eligibility are </w:t>
      </w:r>
      <w:r>
        <w:rPr>
          <w:rFonts w:ascii="DejaVu Sans" w:hAnsi="DejaVu Sans"/>
          <w:b/>
          <w:i w:val="0"/>
          <w:color w:val="000000"/>
        </w:rPr>
        <w:t>TBD</w:t>
      </w:r>
      <w:r>
        <w:rPr>
          <w:rFonts w:ascii="DejaVu Sans" w:hAnsi="DejaVu Sans"/>
          <w:b w:val="0"/>
          <w:i w:val="0"/>
          <w:color w:val="000000"/>
        </w:rPr>
        <w:t xml:space="preserve">. When no other eligible driver remains, the same driver can receive a </w:t>
      </w:r>
      <w:r>
        <w:rPr>
          <w:rFonts w:ascii="DejaVu Sans" w:hAnsi="DejaVu Sans"/>
          <w:b/>
          <w:i w:val="0"/>
          <w:color w:val="000000"/>
        </w:rPr>
        <w:t>new offer ID</w:t>
      </w:r>
      <w:r>
        <w:rPr>
          <w:rFonts w:ascii="DejaVu Sans" w:hAnsi="DejaVu Sans"/>
          <w:b w:val="0"/>
          <w:i w:val="0"/>
          <w:color w:val="000000"/>
        </w:rPr>
        <w:t xml:space="preserve"> under the eventual capped reoffer policy.</w:t>
      </w:r>
    </w:p>
    <w:p>
      <w:r>
        <w:rPr>
          <w:rFonts w:ascii="DejaVu Sans" w:hAnsi="DejaVu Sans"/>
          <w:b/>
          <w:i w:val="0"/>
          <w:color w:val="000000"/>
        </w:rPr>
        <w:t>Trace:</w:t>
      </w:r>
      <w:r>
        <w:rPr>
          <w:rFonts w:ascii="DejaVu Sans" w:hAnsi="DejaVu Sans"/>
          <w:b w:val="0"/>
          <w:i w:val="0"/>
          <w:color w:val="000000"/>
        </w:rPr>
        <w:t xml:space="preserve"> HLD-02, HLD-08–10, HLD-14, HLD-19–20, HLD-22; LLD-02, LLD-04, LLD-06–07, LLD-10; BR-09, BR-12–19, BR-22; NFR-01–03, NFR-07, NFR-12; VT-06–10, VT-17.</w:t>
      </w:r>
    </w:p>
    <w:p>
      <w:pPr>
        <w:pStyle w:val="Heading2"/>
        <w:pageBreakBefore/>
      </w:pPr>
      <w:r>
        <w:t>D 06 Offer state and database invariant</w:t>
      </w:r>
    </w:p>
    <w:p>
      <w:pPr>
        <w:keepNext/>
        <w:spacing w:after="100"/>
        <w:jc w:val="center"/>
      </w:pPr>
      <w:r>
        <w:drawing>
          <wp:inline xmlns:a="http://schemas.openxmlformats.org/drawingml/2006/main" xmlns:pic="http://schemas.openxmlformats.org/drawingml/2006/picture">
            <wp:extent cx="6245941" cy="5532120"/>
            <wp:docPr id="6" name="Picture 6" descr="D-06 architecture diagram"/>
            <wp:cNvGraphicFramePr>
              <a:graphicFrameLocks noChangeAspect="1"/>
            </wp:cNvGraphicFramePr>
            <a:graphic>
              <a:graphicData uri="http://schemas.openxmlformats.org/drawingml/2006/picture">
                <pic:pic>
                  <pic:nvPicPr>
                    <pic:cNvPr id="0" name="D-06.png"/>
                    <pic:cNvPicPr/>
                  </pic:nvPicPr>
                  <pic:blipFill>
                    <a:blip r:embed="rId16"/>
                    <a:stretch>
                      <a:fillRect/>
                    </a:stretch>
                  </pic:blipFill>
                  <pic:spPr>
                    <a:xfrm>
                      <a:off x="0" y="0"/>
                      <a:ext cx="6245941" cy="5532120"/>
                    </a:xfrm>
                    <a:prstGeom prst="rect"/>
                  </pic:spPr>
                </pic:pic>
              </a:graphicData>
            </a:graphic>
          </wp:inline>
        </w:drawing>
      </w:r>
    </w:p>
    <w:p>
      <w:r>
        <w:rPr>
          <w:rFonts w:ascii="DejaVu Sans" w:hAnsi="DejaVu Sans"/>
          <w:b w:val="0"/>
          <w:i w:val="0"/>
          <w:color w:val="000000"/>
        </w:rPr>
        <w:t xml:space="preserve">The </w:t>
      </w:r>
      <w:r>
        <w:rPr>
          <w:rFonts w:ascii="DejaVu Sans" w:hAnsi="DejaVu Sans"/>
          <w:b w:val="0"/>
          <w:i/>
          <w:color w:val="000000"/>
        </w:rPr>
        <w:t>same offer ID</w:t>
      </w:r>
      <w:r>
        <w:rPr>
          <w:rFonts w:ascii="DejaVu Sans" w:hAnsi="DejaVu Sans"/>
          <w:b w:val="0"/>
          <w:i w:val="0"/>
          <w:color w:val="000000"/>
        </w:rPr>
        <w:t xml:space="preserve"> cannot leave a terminal state. Partial unique database indexes admit only one </w:t>
      </w:r>
      <w:r>
        <w:rPr>
          <w:rFonts w:ascii="DejaVu Sans Mono" w:hAnsi="DejaVu Sans Mono"/>
          <w:b w:val="0"/>
          <w:i w:val="0"/>
          <w:color w:val="000000"/>
          <w:sz w:val="18"/>
        </w:rPr>
        <w:t>PENDING_​ACK</w:t>
      </w:r>
      <w:r>
        <w:rPr>
          <w:rFonts w:ascii="DejaVu Sans" w:hAnsi="DejaVu Sans"/>
          <w:b w:val="0"/>
          <w:i w:val="0"/>
          <w:color w:val="000000"/>
        </w:rPr>
        <w:t xml:space="preserve"> or </w:t>
      </w:r>
      <w:r>
        <w:rPr>
          <w:rFonts w:ascii="DejaVu Sans Mono" w:hAnsi="DejaVu Sans Mono"/>
          <w:b w:val="0"/>
          <w:i w:val="0"/>
          <w:color w:val="000000"/>
          <w:sz w:val="18"/>
        </w:rPr>
        <w:t>ACTIVE</w:t>
      </w:r>
      <w:r>
        <w:rPr>
          <w:rFonts w:ascii="DejaVu Sans" w:hAnsi="DejaVu Sans"/>
          <w:b w:val="0"/>
          <w:i w:val="0"/>
          <w:color w:val="000000"/>
        </w:rPr>
        <w:t xml:space="preserve"> offer for each ride </w:t>
      </w:r>
      <w:r>
        <w:rPr>
          <w:rFonts w:ascii="DejaVu Sans" w:hAnsi="DejaVu Sans"/>
          <w:b/>
          <w:i w:val="0"/>
          <w:color w:val="000000"/>
        </w:rPr>
        <w:t>and</w:t>
      </w:r>
      <w:r>
        <w:rPr>
          <w:rFonts w:ascii="DejaVu Sans" w:hAnsi="DejaVu Sans"/>
          <w:b w:val="0"/>
          <w:i w:val="0"/>
          <w:color w:val="000000"/>
        </w:rPr>
        <w:t xml:space="preserve"> each driver; separate partial unique indexes admit only one open assignment per ride </w:t>
      </w:r>
      <w:r>
        <w:rPr>
          <w:rFonts w:ascii="DejaVu Sans" w:hAnsi="DejaVu Sans"/>
          <w:b/>
          <w:i w:val="0"/>
          <w:color w:val="000000"/>
        </w:rPr>
        <w:t>and</w:t>
      </w:r>
      <w:r>
        <w:rPr>
          <w:rFonts w:ascii="DejaVu Sans" w:hAnsi="DejaVu Sans"/>
          <w:b w:val="0"/>
          <w:i w:val="0"/>
          <w:color w:val="000000"/>
        </w:rPr>
        <w:t xml:space="preserve"> driver. Lock the parent ride during offer transitions, check driver eligibility and DB deadlines, and use idempotency keys for booking and acceptance. Driver acceptance itself moves the ride to </w:t>
      </w:r>
      <w:r>
        <w:rPr>
          <w:rFonts w:ascii="DejaVu Sans Mono" w:hAnsi="DejaVu Sans Mono"/>
          <w:b w:val="0"/>
          <w:i w:val="0"/>
          <w:color w:val="000000"/>
          <w:sz w:val="18"/>
        </w:rPr>
        <w:t>CONFIRMED</w:t>
      </w:r>
      <w:r>
        <w:rPr>
          <w:rFonts w:ascii="DejaVu Sans" w:hAnsi="DejaVu Sans"/>
          <w:b w:val="0"/>
          <w:i w:val="0"/>
          <w:color w:val="000000"/>
        </w:rPr>
        <w:t>; no driver price proposal or second rider acceptance step exists. Push or WebSocket delivery does not override these database checks.</w:t>
      </w:r>
    </w:p>
    <w:p>
      <w:r>
        <w:rPr>
          <w:rFonts w:ascii="DejaVu Sans" w:hAnsi="DejaVu Sans"/>
          <w:b/>
          <w:i w:val="0"/>
          <w:color w:val="000000"/>
        </w:rPr>
        <w:t>Trace:</w:t>
      </w:r>
      <w:r>
        <w:rPr>
          <w:rFonts w:ascii="DejaVu Sans" w:hAnsi="DejaVu Sans"/>
          <w:b w:val="0"/>
          <w:i w:val="0"/>
          <w:color w:val="000000"/>
        </w:rPr>
        <w:t xml:space="preserve"> HLD-09–10, HLD-19, HLD-22; LLD-04, LLD-06–07, LLD-10; BR-12–13, BR-16–19, BR-22; NFR-02, NFR-12; VT-06–10.</w:t>
      </w:r>
    </w:p>
    <w:p>
      <w:pPr>
        <w:pStyle w:val="Heading2"/>
        <w:pageBreakBefore/>
      </w:pPr>
      <w:r>
        <w:t>D 07 Authoritative record and live data boundary</w:t>
      </w:r>
    </w:p>
    <w:p>
      <w:pPr>
        <w:keepNext/>
        <w:spacing w:after="100"/>
        <w:jc w:val="center"/>
      </w:pPr>
      <w:r>
        <w:drawing>
          <wp:inline xmlns:a="http://schemas.openxmlformats.org/drawingml/2006/main" xmlns:pic="http://schemas.openxmlformats.org/drawingml/2006/picture">
            <wp:extent cx="6146800" cy="5532120"/>
            <wp:docPr id="7" name="Picture 7" descr="D-07 architecture diagram"/>
            <wp:cNvGraphicFramePr>
              <a:graphicFrameLocks noChangeAspect="1"/>
            </wp:cNvGraphicFramePr>
            <a:graphic>
              <a:graphicData uri="http://schemas.openxmlformats.org/drawingml/2006/picture">
                <pic:pic>
                  <pic:nvPicPr>
                    <pic:cNvPr id="0" name="D-07.png"/>
                    <pic:cNvPicPr/>
                  </pic:nvPicPr>
                  <pic:blipFill>
                    <a:blip r:embed="rId17"/>
                    <a:stretch>
                      <a:fillRect/>
                    </a:stretch>
                  </pic:blipFill>
                  <pic:spPr>
                    <a:xfrm>
                      <a:off x="0" y="0"/>
                      <a:ext cx="6146800" cy="5532120"/>
                    </a:xfrm>
                    <a:prstGeom prst="rect"/>
                  </pic:spPr>
                </pic:pic>
              </a:graphicData>
            </a:graphic>
          </wp:inline>
        </w:drawing>
      </w:r>
    </w:p>
    <w:p>
      <w:r>
        <w:rPr>
          <w:rFonts w:ascii="DejaVu Sans" w:hAnsi="DejaVu Sans"/>
          <w:b w:val="0"/>
          <w:i w:val="0"/>
          <w:color w:val="000000"/>
        </w:rPr>
        <w:t>Each confirmed ride snapshots its quote's fare amount, currency and policy version. A saved place is owned by its rider and its coordinate is copied into the request; later edits never rewrite ride history. Redis GEO members must pass a separate freshness/accuracy/eligibility check; stale locations cannot produce offers. The driver and rider fetch an authoritative ride/offer snapshot on reconnect. Object bytes are accessed only through short-lived grants and ownership checks. No payment transaction is attempted for disabled OMT, Wish/Whish or bank methods. Cash collection is reported and reconcilable, not treated as externally verified settlement.</w:t>
      </w:r>
    </w:p>
    <w:p>
      <w:r>
        <w:rPr>
          <w:rFonts w:ascii="DejaVu Sans" w:hAnsi="DejaVu Sans"/>
          <w:b/>
          <w:i w:val="0"/>
          <w:color w:val="000000"/>
        </w:rPr>
        <w:t>Trace:</w:t>
      </w:r>
      <w:r>
        <w:rPr>
          <w:rFonts w:ascii="DejaVu Sans" w:hAnsi="DejaVu Sans"/>
          <w:b w:val="0"/>
          <w:i w:val="0"/>
          <w:color w:val="000000"/>
        </w:rPr>
        <w:t xml:space="preserve"> HLD-05–12, HLD-15–23; LLD-04–10; BR-05–29, BR-31–32, BR-34–49; NFR-02–05, NFR-07–09; VT-02–05, VT-10–16.</w:t>
      </w:r>
    </w:p>
    <w:p>
      <w:pPr>
        <w:pStyle w:val="Heading2"/>
        <w:pageBreakBefore/>
      </w:pPr>
      <w:r>
        <w:t>D 08 Safety support and post ride accountability</w:t>
      </w:r>
    </w:p>
    <w:p>
      <w:pPr>
        <w:keepNext/>
        <w:spacing w:after="100"/>
        <w:jc w:val="center"/>
      </w:pPr>
      <w:r>
        <w:drawing>
          <wp:inline xmlns:a="http://schemas.openxmlformats.org/drawingml/2006/main" xmlns:pic="http://schemas.openxmlformats.org/drawingml/2006/picture">
            <wp:extent cx="5867399" cy="5532120"/>
            <wp:docPr id="8" name="Picture 8" descr="D-08 architecture diagram"/>
            <wp:cNvGraphicFramePr>
              <a:graphicFrameLocks noChangeAspect="1"/>
            </wp:cNvGraphicFramePr>
            <a:graphic>
              <a:graphicData uri="http://schemas.openxmlformats.org/drawingml/2006/picture">
                <pic:pic>
                  <pic:nvPicPr>
                    <pic:cNvPr id="0" name="D-08.png"/>
                    <pic:cNvPicPr/>
                  </pic:nvPicPr>
                  <pic:blipFill>
                    <a:blip r:embed="rId18"/>
                    <a:stretch>
                      <a:fillRect/>
                    </a:stretch>
                  </pic:blipFill>
                  <pic:spPr>
                    <a:xfrm>
                      <a:off x="0" y="0"/>
                      <a:ext cx="5867399" cy="5532120"/>
                    </a:xfrm>
                    <a:prstGeom prst="rect"/>
                  </pic:spPr>
                </pic:pic>
              </a:graphicData>
            </a:graphic>
          </wp:inline>
        </w:drawing>
      </w:r>
    </w:p>
    <w:p>
      <w:r>
        <w:rPr>
          <w:rFonts w:ascii="DejaVu Sans" w:hAnsi="DejaVu Sans"/>
          <w:b w:val="0"/>
          <w:i w:val="0"/>
          <w:color w:val="000000"/>
        </w:rPr>
        <w:t xml:space="preserve">SOS choices are admin-published registered actions only. Opening an emergency dialer is not evidence that emergency services responded. Real alert options require a defined responder/channel and truthful delivery status. During the approved contact window after ride confirmation, a phone action opens the device dialer outside the app; caller IDs may be visible. After completion, rider and driver can each submit one trip-linked review of the other. A damage report opens a human-reviewed case with private evidence and no automatic rider charge. Response staffing, number exposure duration, review format and case remedies remain </w:t>
      </w:r>
      <w:r>
        <w:rPr>
          <w:rFonts w:ascii="DejaVu Sans" w:hAnsi="DejaVu Sans"/>
          <w:b/>
          <w:i w:val="0"/>
          <w:color w:val="000000"/>
        </w:rPr>
        <w:t>TBD</w:t>
      </w:r>
      <w:r>
        <w:rPr>
          <w:rFonts w:ascii="DejaVu Sans" w:hAnsi="DejaVu Sans"/>
          <w:b w:val="0"/>
          <w:i w:val="0"/>
          <w:color w:val="000000"/>
        </w:rPr>
        <w:t>.</w:t>
      </w:r>
    </w:p>
    <w:p>
      <w:r>
        <w:rPr>
          <w:rFonts w:ascii="DejaVu Sans" w:hAnsi="DejaVu Sans"/>
          <w:b/>
          <w:i w:val="0"/>
          <w:color w:val="000000"/>
        </w:rPr>
        <w:t>Trace:</w:t>
      </w:r>
      <w:r>
        <w:rPr>
          <w:rFonts w:ascii="DejaVu Sans" w:hAnsi="DejaVu Sans"/>
          <w:b w:val="0"/>
          <w:i w:val="0"/>
          <w:color w:val="000000"/>
        </w:rPr>
        <w:t xml:space="preserve"> HLD-14–18, HLD-19, HLD-21–23; LLD-02–04, LLD-08–10; BR-30–40, BR-42–43, BR-47–49; NFR-04–05, NFR-07, NFR-09; VT-13–16.</w:t>
      </w:r>
    </w:p>
    <w:p>
      <w:pPr>
        <w:pStyle w:val="Heading2"/>
        <w:pageBreakBefore/>
      </w:pPr>
      <w:r>
        <w:t>D 09 Core relational model</w:t>
      </w:r>
    </w:p>
    <w:p>
      <w:pPr>
        <w:keepNext/>
        <w:spacing w:after="100"/>
        <w:jc w:val="center"/>
      </w:pPr>
      <w:r>
        <w:drawing>
          <wp:inline xmlns:a="http://schemas.openxmlformats.org/drawingml/2006/main" xmlns:pic="http://schemas.openxmlformats.org/drawingml/2006/picture">
            <wp:extent cx="5867399" cy="5532120"/>
            <wp:docPr id="9" name="Picture 9" descr="D-09 core relational model"/>
            <wp:cNvGraphicFramePr>
              <a:graphicFrameLocks noChangeAspect="1"/>
            </wp:cNvGraphicFramePr>
            <a:graphic>
              <a:graphicData uri="http://schemas.openxmlformats.org/drawingml/2006/picture">
                <pic:pic>
                  <pic:nvPicPr>
                    <pic:cNvPr id="0" name="D-09.png"/>
                    <pic:cNvPicPr/>
                  </pic:nvPicPr>
                  <pic:blipFill>
                    <a:blip r:embed="rId19"/>
                    <a:stretch>
                      <a:fillRect/>
                    </a:stretch>
                  </pic:blipFill>
                  <pic:spPr>
                    <a:xfrm>
                      <a:off x="0" y="0"/>
                      <a:ext cx="5867399" cy="5532120"/>
                    </a:xfrm>
                    <a:prstGeom prst="rect"/>
                  </pic:spPr>
                </pic:pic>
              </a:graphicData>
            </a:graphic>
          </wp:inline>
        </w:drawing>
      </w:r>
    </w:p>
    <w:p>
      <w:r>
        <w:rPr>
          <w:rFonts w:ascii="DejaVu Sans" w:hAnsi="DejaVu Sans"/>
          <w:b w:val="0"/>
          <w:i w:val="0"/>
          <w:color w:val="000000"/>
        </w:rPr>
        <w:t>Accounts identify participants. A quote links a rider to an immutable published pricing version; the ride captures the accepted quote and location snapshot. Offer attempts and assignment history belong to the ride. The two partial unique offer indexes and two open-assignment indexes enforce their own table invariants. A stable driver-row lock serializes offer creation and conversion to an assignment across the tables. This focused model omits support and identity details already defined in the LLD persistent model.</w:t>
      </w:r>
    </w:p>
    <w:p>
      <w:r>
        <w:rPr>
          <w:rFonts w:ascii="DejaVu Sans" w:hAnsi="DejaVu Sans"/>
          <w:b/>
          <w:i w:val="0"/>
          <w:color w:val="000000"/>
        </w:rPr>
        <w:t>Trace:</w:t>
      </w:r>
      <w:r>
        <w:rPr>
          <w:rFonts w:ascii="DejaVu Sans" w:hAnsi="DejaVu Sans"/>
          <w:b w:val="0"/>
          <w:i w:val="0"/>
          <w:color w:val="000000"/>
        </w:rPr>
        <w:t xml:space="preserve"> BR-12–18, BR-24–26, BR-44; NFR-02; HLD-09–11, HLD-19, HLD-22; LLD-04, LLD-06–07, LLD-10; VT-06–11. PK means primary key; FK means foreign key. Relationship labels refer to possible historical rows; active rows are constrained separately.</w:t>
      </w:r>
    </w:p>
    <w:p>
      <w:bookmarkStart w:id="27248" w:name="Architecture_Diagrams_4"/>
      <w:pPr>
        <w:pStyle w:val="Heading1"/>
        <w:pageBreakBefore/>
      </w:pPr>
      <w:r>
        <w:t>Requirements traceability matrix</w:t>
      </w:r>
      <w:bookmarkEnd w:id="27248"/>
    </w:p>
    <w:p>
      <w:r>
        <w:rPr>
          <w:rFonts w:ascii="DejaVu Sans" w:hAnsi="DejaVu Sans"/>
          <w:b w:val="0"/>
          <w:i w:val="0"/>
          <w:color w:val="000000"/>
        </w:rPr>
        <w:t xml:space="preserve">Each row covers the inclusive source-ID range shown; the diagram IDs identify where the behavior or architecture is represented, and the HLD/LLD IDs identify the design specification. D-01 provides business context for all functional requirements, while the additional diagram IDs below show the detailed relationships. </w:t>
      </w:r>
      <w:r>
        <w:rPr>
          <w:rFonts w:ascii="DejaVu Sans Mono" w:hAnsi="DejaVu Sans Mono"/>
          <w:b w:val="0"/>
          <w:i w:val="0"/>
          <w:color w:val="000000"/>
          <w:sz w:val="18"/>
        </w:rPr>
        <w:t>VT</w:t>
      </w:r>
      <w:r>
        <w:rPr>
          <w:rFonts w:ascii="DejaVu Sans" w:hAnsi="DejaVu Sans"/>
          <w:b w:val="0"/>
          <w:i w:val="0"/>
          <w:color w:val="000000"/>
        </w:rPr>
        <w:t xml:space="preserve"> are </w:t>
      </w:r>
      <w:r>
        <w:rPr>
          <w:rFonts w:ascii="DejaVu Sans" w:hAnsi="DejaVu Sans"/>
          <w:b/>
          <w:i w:val="0"/>
          <w:color w:val="000000"/>
        </w:rPr>
        <w:t>planned</w:t>
      </w:r>
      <w:r>
        <w:rPr>
          <w:rFonts w:ascii="DejaVu Sans" w:hAnsi="DejaVu Sans"/>
          <w:b w:val="0"/>
          <w:i w:val="0"/>
          <w:color w:val="000000"/>
        </w:rPr>
        <w:t xml:space="preserve"> LLD verification scenarios, not test results.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1843"/>
        <w:gridCol w:w="2362"/>
        <w:gridCol w:w="3571"/>
        <w:gridCol w:w="2448"/>
      </w:tblGrid>
      <w:tr>
        <w:trPr>
          <w:cantSplit/>
          <w:tblHeader/>
        </w:trPr>
        <w:tc>
          <w:tcPr>
            <w:tcW w:type="dxa" w:w="1843"/>
            <w:vAlign w:val="center"/>
            <w:shd w:fill="173A5E"/>
          </w:tcPr>
          <w:p>
            <w:pPr>
              <w:keepNext w:val="0"/>
              <w:spacing w:after="20" w:before="20" w:line="259" w:lineRule="auto"/>
            </w:pPr>
            <w:r>
              <w:rPr>
                <w:rFonts w:ascii="DejaVu Sans" w:hAnsi="DejaVu Sans"/>
                <w:b/>
                <w:i w:val="0"/>
                <w:color w:val="FFFFFF"/>
                <w:sz w:val="18"/>
              </w:rPr>
              <w:t>Source requirements</w:t>
            </w:r>
          </w:p>
        </w:tc>
        <w:tc>
          <w:tcPr>
            <w:tcW w:type="dxa" w:w="2362"/>
            <w:vAlign w:val="center"/>
            <w:shd w:fill="173A5E"/>
          </w:tcPr>
          <w:p>
            <w:pPr>
              <w:keepNext w:val="0"/>
              <w:spacing w:after="20" w:before="20" w:line="259" w:lineRule="auto"/>
            </w:pPr>
            <w:r>
              <w:rPr>
                <w:rFonts w:ascii="DejaVu Sans" w:hAnsi="DejaVu Sans"/>
                <w:b/>
                <w:i w:val="0"/>
                <w:color w:val="FFFFFF"/>
                <w:sz w:val="18"/>
              </w:rPr>
              <w:t>Diagram IDs</w:t>
            </w:r>
          </w:p>
        </w:tc>
        <w:tc>
          <w:tcPr>
            <w:tcW w:type="dxa" w:w="3571"/>
            <w:vAlign w:val="center"/>
            <w:shd w:fill="173A5E"/>
          </w:tcPr>
          <w:p>
            <w:pPr>
              <w:keepNext w:val="0"/>
              <w:spacing w:after="20" w:before="20" w:line="259" w:lineRule="auto"/>
            </w:pPr>
            <w:r>
              <w:rPr>
                <w:rFonts w:ascii="DejaVu Sans" w:hAnsi="DejaVu Sans"/>
                <w:b/>
                <w:i w:val="0"/>
                <w:color w:val="FFFFFF"/>
                <w:sz w:val="18"/>
              </w:rPr>
              <w:t>Design IDs</w:t>
            </w:r>
          </w:p>
        </w:tc>
        <w:tc>
          <w:tcPr>
            <w:tcW w:type="dxa" w:w="2448"/>
            <w:vAlign w:val="center"/>
            <w:shd w:fill="173A5E"/>
          </w:tcPr>
          <w:p>
            <w:pPr>
              <w:keepNext w:val="0"/>
              <w:spacing w:after="20" w:before="20" w:line="259" w:lineRule="auto"/>
            </w:pPr>
            <w:r>
              <w:rPr>
                <w:rFonts w:ascii="DejaVu Sans" w:hAnsi="DejaVu Sans"/>
                <w:b/>
                <w:i w:val="0"/>
                <w:color w:val="FFFFFF"/>
                <w:sz w:val="18"/>
              </w:rPr>
              <w:t>Planned evidence</w:t>
            </w:r>
          </w:p>
        </w:tc>
      </w:tr>
      <w:tr>
        <w:trPr>
          <w:cantSplit/>
        </w:trPr>
        <w:tc>
          <w:tcPr>
            <w:tcW w:type="dxa" w:w="1843"/>
            <w:vAlign w:val="center"/>
            <w:shd w:fill="FFFFFF"/>
          </w:tcPr>
          <w:p>
            <w:pPr>
              <w:keepNext w:val="0"/>
              <w:spacing w:after="20" w:before="20" w:line="259" w:lineRule="auto"/>
            </w:pPr>
            <w:r>
              <w:rPr>
                <w:rFonts w:ascii="DejaVu Sans" w:hAnsi="DejaVu Sans"/>
                <w:b w:val="0"/>
                <w:i w:val="0"/>
                <w:color w:val="000000"/>
                <w:sz w:val="18"/>
              </w:rPr>
              <w:t>BR-01–04; NFR-06</w:t>
            </w:r>
          </w:p>
        </w:tc>
        <w:tc>
          <w:tcPr>
            <w:tcW w:type="dxa" w:w="2362"/>
            <w:vAlign w:val="center"/>
            <w:shd w:fill="FFFFFF"/>
          </w:tcPr>
          <w:p>
            <w:pPr>
              <w:keepNext w:val="0"/>
              <w:spacing w:after="20" w:before="20" w:line="259" w:lineRule="auto"/>
            </w:pPr>
            <w:r>
              <w:rPr>
                <w:rFonts w:ascii="DejaVu Sans" w:hAnsi="DejaVu Sans"/>
                <w:b w:val="0"/>
                <w:i w:val="0"/>
                <w:color w:val="000000"/>
                <w:sz w:val="18"/>
              </w:rPr>
              <w:t>D-01, D-03, D-04</w:t>
            </w:r>
          </w:p>
        </w:tc>
        <w:tc>
          <w:tcPr>
            <w:tcW w:type="dxa" w:w="3571"/>
            <w:vAlign w:val="center"/>
            <w:shd w:fill="FFFFFF"/>
          </w:tcPr>
          <w:p>
            <w:pPr>
              <w:keepNext w:val="0"/>
              <w:spacing w:after="20" w:before="20" w:line="259" w:lineRule="auto"/>
            </w:pPr>
            <w:r>
              <w:rPr>
                <w:rFonts w:ascii="DejaVu Sans" w:hAnsi="DejaVu Sans"/>
                <w:b w:val="0"/>
                <w:i w:val="0"/>
                <w:color w:val="000000"/>
                <w:sz w:val="18"/>
              </w:rPr>
              <w:t>HLD-01–05, HLD-23; LLD-01–04</w:t>
            </w:r>
          </w:p>
        </w:tc>
        <w:tc>
          <w:tcPr>
            <w:tcW w:type="dxa" w:w="2448"/>
            <w:vAlign w:val="center"/>
            <w:shd w:fill="FFFFFF"/>
          </w:tcPr>
          <w:p>
            <w:pPr>
              <w:keepNext w:val="0"/>
              <w:spacing w:after="20" w:before="20" w:line="259" w:lineRule="auto"/>
            </w:pPr>
            <w:r>
              <w:rPr>
                <w:rFonts w:ascii="DejaVu Sans" w:hAnsi="DejaVu Sans"/>
                <w:b w:val="0"/>
                <w:i w:val="0"/>
                <w:color w:val="000000"/>
                <w:sz w:val="18"/>
              </w:rPr>
              <w:t>VT-01, VT-13</w:t>
            </w:r>
          </w:p>
        </w:tc>
      </w:tr>
      <w:tr>
        <w:trPr>
          <w:cantSplit/>
        </w:trPr>
        <w:tc>
          <w:tcPr>
            <w:tcW w:type="dxa" w:w="1843"/>
            <w:vAlign w:val="center"/>
            <w:shd w:fill="F1F5F9"/>
          </w:tcPr>
          <w:p>
            <w:pPr>
              <w:keepNext w:val="0"/>
              <w:spacing w:after="20" w:before="20" w:line="259" w:lineRule="auto"/>
            </w:pPr>
            <w:r>
              <w:rPr>
                <w:rFonts w:ascii="DejaVu Sans" w:hAnsi="DejaVu Sans"/>
                <w:b w:val="0"/>
                <w:i w:val="0"/>
                <w:color w:val="000000"/>
                <w:sz w:val="18"/>
              </w:rPr>
              <w:t>BR-05–08</w:t>
            </w:r>
          </w:p>
        </w:tc>
        <w:tc>
          <w:tcPr>
            <w:tcW w:type="dxa" w:w="2362"/>
            <w:vAlign w:val="center"/>
            <w:shd w:fill="F1F5F9"/>
          </w:tcPr>
          <w:p>
            <w:pPr>
              <w:keepNext w:val="0"/>
              <w:spacing w:after="20" w:before="20" w:line="259" w:lineRule="auto"/>
            </w:pPr>
            <w:r>
              <w:rPr>
                <w:rFonts w:ascii="DejaVu Sans" w:hAnsi="DejaVu Sans"/>
                <w:b w:val="0"/>
                <w:i w:val="0"/>
                <w:color w:val="000000"/>
                <w:sz w:val="18"/>
              </w:rPr>
              <w:t>D-01–03, D-07</w:t>
            </w:r>
          </w:p>
        </w:tc>
        <w:tc>
          <w:tcPr>
            <w:tcW w:type="dxa" w:w="3571"/>
            <w:vAlign w:val="center"/>
            <w:shd w:fill="F1F5F9"/>
          </w:tcPr>
          <w:p>
            <w:pPr>
              <w:keepNext w:val="0"/>
              <w:spacing w:after="20" w:before="20" w:line="259" w:lineRule="auto"/>
            </w:pPr>
            <w:r>
              <w:rPr>
                <w:rFonts w:ascii="DejaVu Sans" w:hAnsi="DejaVu Sans"/>
                <w:b w:val="0"/>
                <w:i w:val="0"/>
                <w:color w:val="000000"/>
                <w:sz w:val="18"/>
              </w:rPr>
              <w:t>HLD-02–03, HLD-05–06, HLD-08, HLD-19–21; LLD-02–06, LLD-09</w:t>
            </w:r>
          </w:p>
        </w:tc>
        <w:tc>
          <w:tcPr>
            <w:tcW w:type="dxa" w:w="2448"/>
            <w:vAlign w:val="center"/>
            <w:shd w:fill="F1F5F9"/>
          </w:tcPr>
          <w:p>
            <w:pPr>
              <w:keepNext w:val="0"/>
              <w:spacing w:after="20" w:before="20" w:line="259" w:lineRule="auto"/>
            </w:pPr>
            <w:r>
              <w:rPr>
                <w:rFonts w:ascii="DejaVu Sans" w:hAnsi="DejaVu Sans"/>
                <w:b w:val="0"/>
                <w:i w:val="0"/>
                <w:color w:val="000000"/>
                <w:sz w:val="18"/>
              </w:rPr>
              <w:t>VT-02, VT-05</w:t>
            </w:r>
          </w:p>
        </w:tc>
      </w:tr>
      <w:tr>
        <w:trPr>
          <w:cantSplit/>
        </w:trPr>
        <w:tc>
          <w:tcPr>
            <w:tcW w:type="dxa" w:w="1843"/>
            <w:vAlign w:val="center"/>
            <w:shd w:fill="FFFFFF"/>
          </w:tcPr>
          <w:p>
            <w:pPr>
              <w:keepNext w:val="0"/>
              <w:spacing w:after="20" w:before="20" w:line="259" w:lineRule="auto"/>
            </w:pPr>
            <w:r>
              <w:rPr>
                <w:rFonts w:ascii="DejaVu Sans" w:hAnsi="DejaVu Sans"/>
                <w:b w:val="0"/>
                <w:i w:val="0"/>
                <w:color w:val="000000"/>
                <w:sz w:val="18"/>
              </w:rPr>
              <w:t>BR-09–11</w:t>
            </w:r>
          </w:p>
        </w:tc>
        <w:tc>
          <w:tcPr>
            <w:tcW w:type="dxa" w:w="2362"/>
            <w:vAlign w:val="center"/>
            <w:shd w:fill="FFFFFF"/>
          </w:tcPr>
          <w:p>
            <w:pPr>
              <w:keepNext w:val="0"/>
              <w:spacing w:after="20" w:before="20" w:line="259" w:lineRule="auto"/>
            </w:pPr>
            <w:r>
              <w:rPr>
                <w:rFonts w:ascii="DejaVu Sans" w:hAnsi="DejaVu Sans"/>
                <w:b w:val="0"/>
                <w:i w:val="0"/>
                <w:color w:val="000000"/>
                <w:sz w:val="18"/>
              </w:rPr>
              <w:t>D-01–02, D-05, D-07</w:t>
            </w:r>
          </w:p>
        </w:tc>
        <w:tc>
          <w:tcPr>
            <w:tcW w:type="dxa" w:w="3571"/>
            <w:vAlign w:val="center"/>
            <w:shd w:fill="FFFFFF"/>
          </w:tcPr>
          <w:p>
            <w:pPr>
              <w:keepNext w:val="0"/>
              <w:spacing w:after="20" w:before="20" w:line="259" w:lineRule="auto"/>
            </w:pPr>
            <w:r>
              <w:rPr>
                <w:rFonts w:ascii="DejaVu Sans" w:hAnsi="DejaVu Sans"/>
                <w:b w:val="0"/>
                <w:i w:val="0"/>
                <w:color w:val="000000"/>
                <w:sz w:val="18"/>
              </w:rPr>
              <w:t>HLD-01, HLD-07–10, HLD-13, HLD-19–20; LLD-01, LLD-05–07, LLD-09</w:t>
            </w:r>
          </w:p>
        </w:tc>
        <w:tc>
          <w:tcPr>
            <w:tcW w:type="dxa" w:w="2448"/>
            <w:vAlign w:val="center"/>
            <w:shd w:fill="FFFFFF"/>
          </w:tcPr>
          <w:p>
            <w:pPr>
              <w:keepNext w:val="0"/>
              <w:spacing w:after="20" w:before="20" w:line="259" w:lineRule="auto"/>
            </w:pPr>
            <w:r>
              <w:rPr>
                <w:rFonts w:ascii="DejaVu Sans" w:hAnsi="DejaVu Sans"/>
                <w:b w:val="0"/>
                <w:i w:val="0"/>
                <w:color w:val="000000"/>
                <w:sz w:val="18"/>
              </w:rPr>
              <w:t>VT-03–05, VT-11</w:t>
            </w:r>
          </w:p>
        </w:tc>
      </w:tr>
      <w:tr>
        <w:trPr>
          <w:cantSplit/>
        </w:trPr>
        <w:tc>
          <w:tcPr>
            <w:tcW w:type="dxa" w:w="1843"/>
            <w:vAlign w:val="center"/>
            <w:shd w:fill="F1F5F9"/>
          </w:tcPr>
          <w:p>
            <w:pPr>
              <w:keepNext w:val="0"/>
              <w:spacing w:after="20" w:before="20" w:line="259" w:lineRule="auto"/>
            </w:pPr>
            <w:r>
              <w:rPr>
                <w:rFonts w:ascii="DejaVu Sans" w:hAnsi="DejaVu Sans"/>
                <w:b w:val="0"/>
                <w:i w:val="0"/>
                <w:color w:val="000000"/>
                <w:sz w:val="18"/>
              </w:rPr>
              <w:t>BR-12–13; NFR-12</w:t>
            </w:r>
          </w:p>
        </w:tc>
        <w:tc>
          <w:tcPr>
            <w:tcW w:type="dxa" w:w="2362"/>
            <w:vAlign w:val="center"/>
            <w:shd w:fill="F1F5F9"/>
          </w:tcPr>
          <w:p>
            <w:pPr>
              <w:keepNext w:val="0"/>
              <w:spacing w:after="20" w:before="20" w:line="259" w:lineRule="auto"/>
            </w:pPr>
            <w:r>
              <w:rPr>
                <w:rFonts w:ascii="DejaVu Sans" w:hAnsi="DejaVu Sans"/>
                <w:b w:val="0"/>
                <w:i w:val="0"/>
                <w:color w:val="000000"/>
                <w:sz w:val="18"/>
              </w:rPr>
              <w:t>D-02, D-04–07, D-09</w:t>
            </w:r>
          </w:p>
        </w:tc>
        <w:tc>
          <w:tcPr>
            <w:tcW w:type="dxa" w:w="3571"/>
            <w:vAlign w:val="center"/>
            <w:shd w:fill="F1F5F9"/>
          </w:tcPr>
          <w:p>
            <w:pPr>
              <w:keepNext w:val="0"/>
              <w:spacing w:after="20" w:before="20" w:line="259" w:lineRule="auto"/>
            </w:pPr>
            <w:r>
              <w:rPr>
                <w:rFonts w:ascii="DejaVu Sans" w:hAnsi="DejaVu Sans"/>
                <w:b w:val="0"/>
                <w:i w:val="0"/>
                <w:color w:val="000000"/>
                <w:sz w:val="18"/>
              </w:rPr>
              <w:t>HLD-02, HLD-09, HLD-14, HLD-19, HLD-22–23; LLD-02, LLD-04, LLD-06, LLD-10</w:t>
            </w:r>
          </w:p>
        </w:tc>
        <w:tc>
          <w:tcPr>
            <w:tcW w:type="dxa" w:w="2448"/>
            <w:vAlign w:val="center"/>
            <w:shd w:fill="F1F5F9"/>
          </w:tcPr>
          <w:p>
            <w:pPr>
              <w:keepNext w:val="0"/>
              <w:spacing w:after="20" w:before="20" w:line="259" w:lineRule="auto"/>
            </w:pPr>
            <w:r>
              <w:rPr>
                <w:rFonts w:ascii="DejaVu Sans" w:hAnsi="DejaVu Sans"/>
                <w:b w:val="0"/>
                <w:i w:val="0"/>
                <w:color w:val="000000"/>
                <w:sz w:val="18"/>
              </w:rPr>
              <w:t>VT-06–09, VT-17</w:t>
            </w:r>
          </w:p>
        </w:tc>
      </w:tr>
      <w:tr>
        <w:trPr>
          <w:cantSplit/>
        </w:trPr>
        <w:tc>
          <w:tcPr>
            <w:tcW w:type="dxa" w:w="1843"/>
            <w:vAlign w:val="center"/>
            <w:shd w:fill="FFFFFF"/>
          </w:tcPr>
          <w:p>
            <w:pPr>
              <w:keepNext w:val="0"/>
              <w:spacing w:after="20" w:before="20" w:line="259" w:lineRule="auto"/>
            </w:pPr>
            <w:r>
              <w:rPr>
                <w:rFonts w:ascii="DejaVu Sans" w:hAnsi="DejaVu Sans"/>
                <w:b w:val="0"/>
                <w:i w:val="0"/>
                <w:color w:val="000000"/>
                <w:sz w:val="18"/>
              </w:rPr>
              <w:t>BR-14–16; BR-24–26</w:t>
            </w:r>
          </w:p>
        </w:tc>
        <w:tc>
          <w:tcPr>
            <w:tcW w:type="dxa" w:w="2362"/>
            <w:vAlign w:val="center"/>
            <w:shd w:fill="FFFFFF"/>
          </w:tcPr>
          <w:p>
            <w:pPr>
              <w:keepNext w:val="0"/>
              <w:spacing w:after="20" w:before="20" w:line="259" w:lineRule="auto"/>
            </w:pPr>
            <w:r>
              <w:rPr>
                <w:rFonts w:ascii="DejaVu Sans" w:hAnsi="DejaVu Sans"/>
                <w:b w:val="0"/>
                <w:i w:val="0"/>
                <w:color w:val="000000"/>
                <w:sz w:val="18"/>
              </w:rPr>
              <w:t>D-01–03, D-05, D-07, D-09</w:t>
            </w:r>
          </w:p>
        </w:tc>
        <w:tc>
          <w:tcPr>
            <w:tcW w:type="dxa" w:w="3571"/>
            <w:vAlign w:val="center"/>
            <w:shd w:fill="FFFFFF"/>
          </w:tcPr>
          <w:p>
            <w:pPr>
              <w:keepNext w:val="0"/>
              <w:spacing w:after="20" w:before="20" w:line="259" w:lineRule="auto"/>
            </w:pPr>
            <w:r>
              <w:rPr>
                <w:rFonts w:ascii="DejaVu Sans" w:hAnsi="DejaVu Sans"/>
                <w:b w:val="0"/>
                <w:i w:val="0"/>
                <w:color w:val="000000"/>
                <w:sz w:val="18"/>
              </w:rPr>
              <w:t>HLD-01–03, HLD-09–11, HLD-19; LLD-01–03, LLD-06–07</w:t>
            </w:r>
          </w:p>
        </w:tc>
        <w:tc>
          <w:tcPr>
            <w:tcW w:type="dxa" w:w="2448"/>
            <w:vAlign w:val="center"/>
            <w:shd w:fill="FFFFFF"/>
          </w:tcPr>
          <w:p>
            <w:pPr>
              <w:keepNext w:val="0"/>
              <w:spacing w:after="20" w:before="20" w:line="259" w:lineRule="auto"/>
            </w:pPr>
            <w:r>
              <w:rPr>
                <w:rFonts w:ascii="DejaVu Sans" w:hAnsi="DejaVu Sans"/>
                <w:b w:val="0"/>
                <w:i w:val="0"/>
                <w:color w:val="000000"/>
                <w:sz w:val="18"/>
              </w:rPr>
              <w:t>VT-06, VT-11</w:t>
            </w:r>
          </w:p>
        </w:tc>
      </w:tr>
      <w:tr>
        <w:trPr>
          <w:cantSplit/>
        </w:trPr>
        <w:tc>
          <w:tcPr>
            <w:tcW w:type="dxa" w:w="1843"/>
            <w:vAlign w:val="center"/>
            <w:shd w:fill="F1F5F9"/>
          </w:tcPr>
          <w:p>
            <w:pPr>
              <w:keepNext w:val="0"/>
              <w:spacing w:after="20" w:before="20" w:line="259" w:lineRule="auto"/>
            </w:pPr>
            <w:r>
              <w:rPr>
                <w:rFonts w:ascii="DejaVu Sans" w:hAnsi="DejaVu Sans"/>
                <w:b w:val="0"/>
                <w:i w:val="0"/>
                <w:color w:val="000000"/>
                <w:sz w:val="18"/>
              </w:rPr>
              <w:t>BR-17–18</w:t>
            </w:r>
          </w:p>
        </w:tc>
        <w:tc>
          <w:tcPr>
            <w:tcW w:type="dxa" w:w="2362"/>
            <w:vAlign w:val="center"/>
            <w:shd w:fill="F1F5F9"/>
          </w:tcPr>
          <w:p>
            <w:pPr>
              <w:keepNext w:val="0"/>
              <w:spacing w:after="20" w:before="20" w:line="259" w:lineRule="auto"/>
            </w:pPr>
            <w:r>
              <w:rPr>
                <w:rFonts w:ascii="DejaVu Sans" w:hAnsi="DejaVu Sans"/>
                <w:b w:val="0"/>
                <w:i w:val="0"/>
                <w:color w:val="000000"/>
                <w:sz w:val="18"/>
              </w:rPr>
              <w:t>D-02, D-04–07, D-09</w:t>
            </w:r>
          </w:p>
        </w:tc>
        <w:tc>
          <w:tcPr>
            <w:tcW w:type="dxa" w:w="3571"/>
            <w:vAlign w:val="center"/>
            <w:shd w:fill="F1F5F9"/>
          </w:tcPr>
          <w:p>
            <w:pPr>
              <w:keepNext w:val="0"/>
              <w:spacing w:after="20" w:before="20" w:line="259" w:lineRule="auto"/>
            </w:pPr>
            <w:r>
              <w:rPr>
                <w:rFonts w:ascii="DejaVu Sans" w:hAnsi="DejaVu Sans"/>
                <w:b w:val="0"/>
                <w:i w:val="0"/>
                <w:color w:val="000000"/>
                <w:sz w:val="18"/>
              </w:rPr>
              <w:t>HLD-04, HLD-09–10, HLD-19, HLD-22; LLD-04, LLD-06–07, LLD-10</w:t>
            </w:r>
          </w:p>
        </w:tc>
        <w:tc>
          <w:tcPr>
            <w:tcW w:type="dxa" w:w="2448"/>
            <w:vAlign w:val="center"/>
            <w:shd w:fill="F1F5F9"/>
          </w:tcPr>
          <w:p>
            <w:pPr>
              <w:keepNext w:val="0"/>
              <w:spacing w:after="20" w:before="20" w:line="259" w:lineRule="auto"/>
            </w:pPr>
            <w:r>
              <w:rPr>
                <w:rFonts w:ascii="DejaVu Sans" w:hAnsi="DejaVu Sans"/>
                <w:b w:val="0"/>
                <w:i w:val="0"/>
                <w:color w:val="000000"/>
                <w:sz w:val="18"/>
              </w:rPr>
              <w:t>VT-08, VT-10</w:t>
            </w:r>
          </w:p>
        </w:tc>
      </w:tr>
      <w:tr>
        <w:trPr>
          <w:cantSplit/>
        </w:trPr>
        <w:tc>
          <w:tcPr>
            <w:tcW w:type="dxa" w:w="1843"/>
            <w:vAlign w:val="center"/>
            <w:shd w:fill="FFFFFF"/>
          </w:tcPr>
          <w:p>
            <w:pPr>
              <w:keepNext w:val="0"/>
              <w:spacing w:after="20" w:before="20" w:line="259" w:lineRule="auto"/>
            </w:pPr>
            <w:r>
              <w:rPr>
                <w:rFonts w:ascii="DejaVu Sans" w:hAnsi="DejaVu Sans"/>
                <w:b w:val="0"/>
                <w:i w:val="0"/>
                <w:color w:val="000000"/>
                <w:sz w:val="18"/>
              </w:rPr>
              <w:t>BR-19–23; NFR-02–03</w:t>
            </w:r>
          </w:p>
        </w:tc>
        <w:tc>
          <w:tcPr>
            <w:tcW w:type="dxa" w:w="2362"/>
            <w:vAlign w:val="center"/>
            <w:shd w:fill="FFFFFF"/>
          </w:tcPr>
          <w:p>
            <w:pPr>
              <w:keepNext w:val="0"/>
              <w:spacing w:after="20" w:before="20" w:line="259" w:lineRule="auto"/>
            </w:pPr>
            <w:r>
              <w:rPr>
                <w:rFonts w:ascii="DejaVu Sans" w:hAnsi="DejaVu Sans"/>
                <w:b w:val="0"/>
                <w:i w:val="0"/>
                <w:color w:val="000000"/>
                <w:sz w:val="18"/>
              </w:rPr>
              <w:t>D-01–02, D-04–07</w:t>
            </w:r>
          </w:p>
        </w:tc>
        <w:tc>
          <w:tcPr>
            <w:tcW w:type="dxa" w:w="3571"/>
            <w:vAlign w:val="center"/>
            <w:shd w:fill="FFFFFF"/>
          </w:tcPr>
          <w:p>
            <w:pPr>
              <w:keepNext w:val="0"/>
              <w:spacing w:after="20" w:before="20" w:line="259" w:lineRule="auto"/>
            </w:pPr>
            <w:r>
              <w:rPr>
                <w:rFonts w:ascii="DejaVu Sans" w:hAnsi="DejaVu Sans"/>
                <w:b w:val="0"/>
                <w:i w:val="0"/>
                <w:color w:val="000000"/>
                <w:sz w:val="18"/>
              </w:rPr>
              <w:t>HLD-01–02, HLD-08–10, HLD-13–14, HLD-19–20; LLD-01–02, LLD-04, LLD-06–07, LLD-09</w:t>
            </w:r>
          </w:p>
        </w:tc>
        <w:tc>
          <w:tcPr>
            <w:tcW w:type="dxa" w:w="2448"/>
            <w:vAlign w:val="center"/>
            <w:shd w:fill="FFFFFF"/>
          </w:tcPr>
          <w:p>
            <w:pPr>
              <w:keepNext w:val="0"/>
              <w:spacing w:after="20" w:before="20" w:line="259" w:lineRule="auto"/>
            </w:pPr>
            <w:r>
              <w:rPr>
                <w:rFonts w:ascii="DejaVu Sans" w:hAnsi="DejaVu Sans"/>
                <w:b w:val="0"/>
                <w:i w:val="0"/>
                <w:color w:val="000000"/>
                <w:sz w:val="18"/>
              </w:rPr>
              <w:t>VT-05, VT-10, VT-17</w:t>
            </w:r>
          </w:p>
        </w:tc>
      </w:tr>
      <w:tr>
        <w:trPr>
          <w:cantSplit/>
        </w:trPr>
        <w:tc>
          <w:tcPr>
            <w:tcW w:type="dxa" w:w="1843"/>
            <w:vAlign w:val="center"/>
            <w:shd w:fill="F1F5F9"/>
          </w:tcPr>
          <w:p>
            <w:pPr>
              <w:keepNext w:val="0"/>
              <w:spacing w:after="20" w:before="20" w:line="259" w:lineRule="auto"/>
            </w:pPr>
            <w:r>
              <w:rPr>
                <w:rFonts w:ascii="DejaVu Sans" w:hAnsi="DejaVu Sans"/>
                <w:b w:val="0"/>
                <w:i w:val="0"/>
                <w:color w:val="000000"/>
                <w:sz w:val="18"/>
              </w:rPr>
              <w:t>BR-27–29</w:t>
            </w:r>
          </w:p>
        </w:tc>
        <w:tc>
          <w:tcPr>
            <w:tcW w:type="dxa" w:w="2362"/>
            <w:vAlign w:val="center"/>
            <w:shd w:fill="F1F5F9"/>
          </w:tcPr>
          <w:p>
            <w:pPr>
              <w:keepNext w:val="0"/>
              <w:spacing w:after="20" w:before="20" w:line="259" w:lineRule="auto"/>
            </w:pPr>
            <w:r>
              <w:rPr>
                <w:rFonts w:ascii="DejaVu Sans" w:hAnsi="DejaVu Sans"/>
                <w:b w:val="0"/>
                <w:i w:val="0"/>
                <w:color w:val="000000"/>
                <w:sz w:val="18"/>
              </w:rPr>
              <w:t>D-01, D-02, D-07</w:t>
            </w:r>
          </w:p>
        </w:tc>
        <w:tc>
          <w:tcPr>
            <w:tcW w:type="dxa" w:w="3571"/>
            <w:vAlign w:val="center"/>
            <w:shd w:fill="F1F5F9"/>
          </w:tcPr>
          <w:p>
            <w:pPr>
              <w:keepNext w:val="0"/>
              <w:spacing w:after="20" w:before="20" w:line="259" w:lineRule="auto"/>
            </w:pPr>
            <w:r>
              <w:rPr>
                <w:rFonts w:ascii="DejaVu Sans" w:hAnsi="DejaVu Sans"/>
                <w:b w:val="0"/>
                <w:i w:val="0"/>
                <w:color w:val="000000"/>
                <w:sz w:val="18"/>
              </w:rPr>
              <w:t>HLD-11–12, HLD-19; LLD-07, LLD-09</w:t>
            </w:r>
          </w:p>
        </w:tc>
        <w:tc>
          <w:tcPr>
            <w:tcW w:type="dxa" w:w="2448"/>
            <w:vAlign w:val="center"/>
            <w:shd w:fill="F1F5F9"/>
          </w:tcPr>
          <w:p>
            <w:pPr>
              <w:keepNext w:val="0"/>
              <w:spacing w:after="20" w:before="20" w:line="259" w:lineRule="auto"/>
            </w:pPr>
            <w:r>
              <w:rPr>
                <w:rFonts w:ascii="DejaVu Sans" w:hAnsi="DejaVu Sans"/>
                <w:b w:val="0"/>
                <w:i w:val="0"/>
                <w:color w:val="000000"/>
                <w:sz w:val="18"/>
              </w:rPr>
              <w:t>VT-12</w:t>
            </w:r>
          </w:p>
        </w:tc>
      </w:tr>
      <w:tr>
        <w:trPr>
          <w:cantSplit/>
        </w:trPr>
        <w:tc>
          <w:tcPr>
            <w:tcW w:type="dxa" w:w="1843"/>
            <w:vAlign w:val="center"/>
            <w:shd w:fill="FFFFFF"/>
          </w:tcPr>
          <w:p>
            <w:pPr>
              <w:keepNext w:val="0"/>
              <w:spacing w:after="20" w:before="20" w:line="259" w:lineRule="auto"/>
            </w:pPr>
            <w:r>
              <w:rPr>
                <w:rFonts w:ascii="DejaVu Sans" w:hAnsi="DejaVu Sans"/>
                <w:b w:val="0"/>
                <w:i w:val="0"/>
                <w:color w:val="000000"/>
                <w:sz w:val="18"/>
              </w:rPr>
              <w:t>BR-30–32</w:t>
            </w:r>
          </w:p>
        </w:tc>
        <w:tc>
          <w:tcPr>
            <w:tcW w:type="dxa" w:w="2362"/>
            <w:vAlign w:val="center"/>
            <w:shd w:fill="FFFFFF"/>
          </w:tcPr>
          <w:p>
            <w:pPr>
              <w:keepNext w:val="0"/>
              <w:spacing w:after="20" w:before="20" w:line="259" w:lineRule="auto"/>
            </w:pPr>
            <w:r>
              <w:rPr>
                <w:rFonts w:ascii="DejaVu Sans" w:hAnsi="DejaVu Sans"/>
                <w:b w:val="0"/>
                <w:i w:val="0"/>
                <w:color w:val="000000"/>
                <w:sz w:val="18"/>
              </w:rPr>
              <w:t>D-01, D-03, D-08</w:t>
            </w:r>
          </w:p>
        </w:tc>
        <w:tc>
          <w:tcPr>
            <w:tcW w:type="dxa" w:w="3571"/>
            <w:vAlign w:val="center"/>
            <w:shd w:fill="FFFFFF"/>
          </w:tcPr>
          <w:p>
            <w:pPr>
              <w:keepNext w:val="0"/>
              <w:spacing w:after="20" w:before="20" w:line="259" w:lineRule="auto"/>
            </w:pPr>
            <w:r>
              <w:rPr>
                <w:rFonts w:ascii="DejaVu Sans" w:hAnsi="DejaVu Sans"/>
                <w:b w:val="0"/>
                <w:i w:val="0"/>
                <w:color w:val="000000"/>
                <w:sz w:val="18"/>
              </w:rPr>
              <w:t>HLD-01–02, HLD-14–15, HLD-19; LLD-01–02, LLD-04, LLD-08–09</w:t>
            </w:r>
          </w:p>
        </w:tc>
        <w:tc>
          <w:tcPr>
            <w:tcW w:type="dxa" w:w="2448"/>
            <w:vAlign w:val="center"/>
            <w:shd w:fill="FFFFFF"/>
          </w:tcPr>
          <w:p>
            <w:pPr>
              <w:keepNext w:val="0"/>
              <w:spacing w:after="20" w:before="20" w:line="259" w:lineRule="auto"/>
            </w:pPr>
            <w:r>
              <w:rPr>
                <w:rFonts w:ascii="DejaVu Sans" w:hAnsi="DejaVu Sans"/>
                <w:b w:val="0"/>
                <w:i w:val="0"/>
                <w:color w:val="000000"/>
                <w:sz w:val="18"/>
              </w:rPr>
              <w:t>VT-13</w:t>
            </w:r>
          </w:p>
        </w:tc>
      </w:tr>
      <w:tr>
        <w:trPr>
          <w:cantSplit/>
        </w:trPr>
        <w:tc>
          <w:tcPr>
            <w:tcW w:type="dxa" w:w="1843"/>
            <w:vAlign w:val="center"/>
            <w:shd w:fill="F1F5F9"/>
          </w:tcPr>
          <w:p>
            <w:pPr>
              <w:keepNext w:val="0"/>
              <w:spacing w:after="20" w:before="20" w:line="259" w:lineRule="auto"/>
            </w:pPr>
            <w:r>
              <w:rPr>
                <w:rFonts w:ascii="DejaVu Sans" w:hAnsi="DejaVu Sans"/>
                <w:b w:val="0"/>
                <w:i w:val="0"/>
                <w:color w:val="000000"/>
                <w:sz w:val="18"/>
              </w:rPr>
              <w:t>BR-33–37</w:t>
            </w:r>
          </w:p>
        </w:tc>
        <w:tc>
          <w:tcPr>
            <w:tcW w:type="dxa" w:w="2362"/>
            <w:vAlign w:val="center"/>
            <w:shd w:fill="F1F5F9"/>
          </w:tcPr>
          <w:p>
            <w:pPr>
              <w:keepNext w:val="0"/>
              <w:spacing w:after="20" w:before="20" w:line="259" w:lineRule="auto"/>
            </w:pPr>
            <w:r>
              <w:rPr>
                <w:rFonts w:ascii="DejaVu Sans" w:hAnsi="DejaVu Sans"/>
                <w:b w:val="0"/>
                <w:i w:val="0"/>
                <w:color w:val="000000"/>
                <w:sz w:val="18"/>
              </w:rPr>
              <w:t>D-01, D-03, D-07–08</w:t>
            </w:r>
          </w:p>
        </w:tc>
        <w:tc>
          <w:tcPr>
            <w:tcW w:type="dxa" w:w="3571"/>
            <w:vAlign w:val="center"/>
            <w:shd w:fill="F1F5F9"/>
          </w:tcPr>
          <w:p>
            <w:pPr>
              <w:keepNext w:val="0"/>
              <w:spacing w:after="20" w:before="20" w:line="259" w:lineRule="auto"/>
            </w:pPr>
            <w:r>
              <w:rPr>
                <w:rFonts w:ascii="DejaVu Sans" w:hAnsi="DejaVu Sans"/>
                <w:b w:val="0"/>
                <w:i w:val="0"/>
                <w:color w:val="000000"/>
                <w:sz w:val="18"/>
              </w:rPr>
              <w:t>HLD-01–03, HLD-14, HLD-16–17, HLD-19, HLD-22; LLD-01–03, LLD-08–10</w:t>
            </w:r>
          </w:p>
        </w:tc>
        <w:tc>
          <w:tcPr>
            <w:tcW w:type="dxa" w:w="2448"/>
            <w:vAlign w:val="center"/>
            <w:shd w:fill="F1F5F9"/>
          </w:tcPr>
          <w:p>
            <w:pPr>
              <w:keepNext w:val="0"/>
              <w:spacing w:after="20" w:before="20" w:line="259" w:lineRule="auto"/>
            </w:pPr>
            <w:r>
              <w:rPr>
                <w:rFonts w:ascii="DejaVu Sans" w:hAnsi="DejaVu Sans"/>
                <w:b w:val="0"/>
                <w:i w:val="0"/>
                <w:color w:val="000000"/>
                <w:sz w:val="18"/>
              </w:rPr>
              <w:t>VT-14, VT-16</w:t>
            </w:r>
          </w:p>
        </w:tc>
      </w:tr>
      <w:tr>
        <w:trPr>
          <w:cantSplit/>
        </w:trPr>
        <w:tc>
          <w:tcPr>
            <w:tcW w:type="dxa" w:w="1843"/>
            <w:vAlign w:val="center"/>
            <w:shd w:fill="FFFFFF"/>
          </w:tcPr>
          <w:p>
            <w:pPr>
              <w:keepNext w:val="0"/>
              <w:spacing w:after="20" w:before="20" w:line="259" w:lineRule="auto"/>
            </w:pPr>
            <w:r>
              <w:rPr>
                <w:rFonts w:ascii="DejaVu Sans" w:hAnsi="DejaVu Sans"/>
                <w:b w:val="0"/>
                <w:i w:val="0"/>
                <w:color w:val="000000"/>
                <w:sz w:val="18"/>
              </w:rPr>
              <w:t>BR-38–40</w:t>
            </w:r>
          </w:p>
        </w:tc>
        <w:tc>
          <w:tcPr>
            <w:tcW w:type="dxa" w:w="2362"/>
            <w:vAlign w:val="center"/>
            <w:shd w:fill="FFFFFF"/>
          </w:tcPr>
          <w:p>
            <w:pPr>
              <w:keepNext w:val="0"/>
              <w:spacing w:after="20" w:before="20" w:line="259" w:lineRule="auto"/>
            </w:pPr>
            <w:r>
              <w:rPr>
                <w:rFonts w:ascii="DejaVu Sans" w:hAnsi="DejaVu Sans"/>
                <w:b w:val="0"/>
                <w:i w:val="0"/>
                <w:color w:val="000000"/>
                <w:sz w:val="18"/>
              </w:rPr>
              <w:t>D-01, D-03, D-07–08</w:t>
            </w:r>
          </w:p>
        </w:tc>
        <w:tc>
          <w:tcPr>
            <w:tcW w:type="dxa" w:w="3571"/>
            <w:vAlign w:val="center"/>
            <w:shd w:fill="FFFFFF"/>
          </w:tcPr>
          <w:p>
            <w:pPr>
              <w:keepNext w:val="0"/>
              <w:spacing w:after="20" w:before="20" w:line="259" w:lineRule="auto"/>
            </w:pPr>
            <w:r>
              <w:rPr>
                <w:rFonts w:ascii="DejaVu Sans" w:hAnsi="DejaVu Sans"/>
                <w:b w:val="0"/>
                <w:i w:val="0"/>
                <w:color w:val="000000"/>
                <w:sz w:val="18"/>
              </w:rPr>
              <w:t>HLD-01–03, HLD-18–19; LLD-01–03, LLD-08</w:t>
            </w:r>
          </w:p>
        </w:tc>
        <w:tc>
          <w:tcPr>
            <w:tcW w:type="dxa" w:w="2448"/>
            <w:vAlign w:val="center"/>
            <w:shd w:fill="FFFFFF"/>
          </w:tcPr>
          <w:p>
            <w:pPr>
              <w:keepNext w:val="0"/>
              <w:spacing w:after="20" w:before="20" w:line="259" w:lineRule="auto"/>
            </w:pPr>
            <w:r>
              <w:rPr>
                <w:rFonts w:ascii="DejaVu Sans" w:hAnsi="DejaVu Sans"/>
                <w:b w:val="0"/>
                <w:i w:val="0"/>
                <w:color w:val="000000"/>
                <w:sz w:val="18"/>
              </w:rPr>
              <w:t>VT-15</w:t>
            </w:r>
          </w:p>
        </w:tc>
      </w:tr>
      <w:tr>
        <w:trPr>
          <w:cantSplit/>
        </w:trPr>
        <w:tc>
          <w:tcPr>
            <w:tcW w:type="dxa" w:w="1843"/>
            <w:vAlign w:val="center"/>
            <w:shd w:fill="F1F5F9"/>
          </w:tcPr>
          <w:p>
            <w:pPr>
              <w:keepNext w:val="0"/>
              <w:spacing w:after="20" w:before="20" w:line="259" w:lineRule="auto"/>
            </w:pPr>
            <w:r>
              <w:rPr>
                <w:rFonts w:ascii="DejaVu Sans" w:hAnsi="DejaVu Sans"/>
                <w:b w:val="0"/>
                <w:i w:val="0"/>
                <w:color w:val="000000"/>
                <w:sz w:val="18"/>
              </w:rPr>
              <w:t>BR-41–44</w:t>
            </w:r>
          </w:p>
        </w:tc>
        <w:tc>
          <w:tcPr>
            <w:tcW w:type="dxa" w:w="2362"/>
            <w:vAlign w:val="center"/>
            <w:shd w:fill="F1F5F9"/>
          </w:tcPr>
          <w:p>
            <w:pPr>
              <w:keepNext w:val="0"/>
              <w:spacing w:after="20" w:before="20" w:line="259" w:lineRule="auto"/>
            </w:pPr>
            <w:r>
              <w:rPr>
                <w:rFonts w:ascii="DejaVu Sans" w:hAnsi="DejaVu Sans"/>
                <w:b w:val="0"/>
                <w:i w:val="0"/>
                <w:color w:val="000000"/>
                <w:sz w:val="18"/>
              </w:rPr>
              <w:t>D-01, D-03, D-07–08</w:t>
            </w:r>
          </w:p>
        </w:tc>
        <w:tc>
          <w:tcPr>
            <w:tcW w:type="dxa" w:w="3571"/>
            <w:vAlign w:val="center"/>
            <w:shd w:fill="F1F5F9"/>
          </w:tcPr>
          <w:p>
            <w:pPr>
              <w:keepNext w:val="0"/>
              <w:spacing w:after="20" w:before="20" w:line="259" w:lineRule="auto"/>
            </w:pPr>
            <w:r>
              <w:rPr>
                <w:rFonts w:ascii="DejaVu Sans" w:hAnsi="DejaVu Sans"/>
                <w:b w:val="0"/>
                <w:i w:val="0"/>
                <w:color w:val="000000"/>
                <w:sz w:val="18"/>
              </w:rPr>
              <w:t>HLD-03, HLD-06–07, HLD-11, HLD-17, HLD-19, HLD-23; LLD-03, LLD-05, LLD-07–08, LLD-10</w:t>
            </w:r>
          </w:p>
        </w:tc>
        <w:tc>
          <w:tcPr>
            <w:tcW w:type="dxa" w:w="2448"/>
            <w:vAlign w:val="center"/>
            <w:shd w:fill="F1F5F9"/>
          </w:tcPr>
          <w:p>
            <w:pPr>
              <w:keepNext w:val="0"/>
              <w:spacing w:after="20" w:before="20" w:line="259" w:lineRule="auto"/>
            </w:pPr>
            <w:r>
              <w:rPr>
                <w:rFonts w:ascii="DejaVu Sans" w:hAnsi="DejaVu Sans"/>
                <w:b w:val="0"/>
                <w:i w:val="0"/>
                <w:color w:val="000000"/>
                <w:sz w:val="18"/>
              </w:rPr>
              <w:t>VT-02–03, VT-11, VT-14</w:t>
            </w:r>
          </w:p>
        </w:tc>
      </w:tr>
      <w:tr>
        <w:trPr>
          <w:cantSplit/>
        </w:trPr>
        <w:tc>
          <w:tcPr>
            <w:tcW w:type="dxa" w:w="1843"/>
            <w:vAlign w:val="center"/>
            <w:shd w:fill="FFFFFF"/>
          </w:tcPr>
          <w:p>
            <w:pPr>
              <w:keepNext w:val="0"/>
              <w:spacing w:after="20" w:before="20" w:line="259" w:lineRule="auto"/>
            </w:pPr>
            <w:r>
              <w:rPr>
                <w:rFonts w:ascii="DejaVu Sans" w:hAnsi="DejaVu Sans"/>
                <w:b w:val="0"/>
                <w:i w:val="0"/>
                <w:color w:val="000000"/>
                <w:sz w:val="18"/>
              </w:rPr>
              <w:t>BR-45</w:t>
            </w:r>
          </w:p>
        </w:tc>
        <w:tc>
          <w:tcPr>
            <w:tcW w:type="dxa" w:w="2362"/>
            <w:vAlign w:val="center"/>
            <w:shd w:fill="FFFFFF"/>
          </w:tcPr>
          <w:p>
            <w:pPr>
              <w:keepNext w:val="0"/>
              <w:spacing w:after="20" w:before="20" w:line="259" w:lineRule="auto"/>
            </w:pPr>
            <w:r>
              <w:rPr>
                <w:rFonts w:ascii="DejaVu Sans" w:hAnsi="DejaVu Sans"/>
                <w:b w:val="0"/>
                <w:i w:val="0"/>
                <w:color w:val="000000"/>
                <w:sz w:val="18"/>
              </w:rPr>
              <w:t>D-01–03, D-07</w:t>
            </w:r>
          </w:p>
        </w:tc>
        <w:tc>
          <w:tcPr>
            <w:tcW w:type="dxa" w:w="3571"/>
            <w:vAlign w:val="center"/>
            <w:shd w:fill="FFFFFF"/>
          </w:tcPr>
          <w:p>
            <w:pPr>
              <w:keepNext w:val="0"/>
              <w:spacing w:after="20" w:before="20" w:line="259" w:lineRule="auto"/>
            </w:pPr>
            <w:r>
              <w:rPr>
                <w:rFonts w:ascii="DejaVu Sans" w:hAnsi="DejaVu Sans"/>
                <w:b w:val="0"/>
                <w:i w:val="0"/>
                <w:color w:val="000000"/>
                <w:sz w:val="18"/>
              </w:rPr>
              <w:t>HLD-03, HLD-07, HLD-19; LLD-03, LLD-05</w:t>
            </w:r>
          </w:p>
        </w:tc>
        <w:tc>
          <w:tcPr>
            <w:tcW w:type="dxa" w:w="2448"/>
            <w:vAlign w:val="center"/>
            <w:shd w:fill="FFFFFF"/>
          </w:tcPr>
          <w:p>
            <w:pPr>
              <w:keepNext w:val="0"/>
              <w:spacing w:after="20" w:before="20" w:line="259" w:lineRule="auto"/>
            </w:pPr>
            <w:r>
              <w:rPr>
                <w:rFonts w:ascii="DejaVu Sans" w:hAnsi="DejaVu Sans"/>
                <w:b w:val="0"/>
                <w:i w:val="0"/>
                <w:color w:val="000000"/>
                <w:sz w:val="18"/>
              </w:rPr>
              <w:t>VT-03</w:t>
            </w:r>
          </w:p>
        </w:tc>
      </w:tr>
      <w:tr>
        <w:trPr>
          <w:cantSplit/>
        </w:trPr>
        <w:tc>
          <w:tcPr>
            <w:tcW w:type="dxa" w:w="1843"/>
            <w:vAlign w:val="center"/>
            <w:shd w:fill="F1F5F9"/>
          </w:tcPr>
          <w:p>
            <w:pPr>
              <w:keepNext w:val="0"/>
              <w:spacing w:after="20" w:before="20" w:line="259" w:lineRule="auto"/>
            </w:pPr>
            <w:r>
              <w:rPr>
                <w:rFonts w:ascii="DejaVu Sans" w:hAnsi="DejaVu Sans"/>
                <w:b w:val="0"/>
                <w:i w:val="0"/>
                <w:color w:val="000000"/>
                <w:sz w:val="18"/>
              </w:rPr>
              <w:t>BR-46</w:t>
            </w:r>
          </w:p>
        </w:tc>
        <w:tc>
          <w:tcPr>
            <w:tcW w:type="dxa" w:w="2362"/>
            <w:vAlign w:val="center"/>
            <w:shd w:fill="F1F5F9"/>
          </w:tcPr>
          <w:p>
            <w:pPr>
              <w:keepNext w:val="0"/>
              <w:spacing w:after="20" w:before="20" w:line="259" w:lineRule="auto"/>
            </w:pPr>
            <w:r>
              <w:rPr>
                <w:rFonts w:ascii="DejaVu Sans" w:hAnsi="DejaVu Sans"/>
                <w:b w:val="0"/>
                <w:i w:val="0"/>
                <w:color w:val="000000"/>
                <w:sz w:val="18"/>
              </w:rPr>
              <w:t>D-01–02, D-07</w:t>
            </w:r>
          </w:p>
        </w:tc>
        <w:tc>
          <w:tcPr>
            <w:tcW w:type="dxa" w:w="3571"/>
            <w:vAlign w:val="center"/>
            <w:shd w:fill="F1F5F9"/>
          </w:tcPr>
          <w:p>
            <w:pPr>
              <w:keepNext w:val="0"/>
              <w:spacing w:after="20" w:before="20" w:line="259" w:lineRule="auto"/>
            </w:pPr>
            <w:r>
              <w:rPr>
                <w:rFonts w:ascii="DejaVu Sans" w:hAnsi="DejaVu Sans"/>
                <w:b w:val="0"/>
                <w:i w:val="0"/>
                <w:color w:val="000000"/>
                <w:sz w:val="18"/>
              </w:rPr>
              <w:t>HLD-01, HLD-07, HLD-13, HLD-19; LLD-01, LLD-05, LLD-09</w:t>
            </w:r>
          </w:p>
        </w:tc>
        <w:tc>
          <w:tcPr>
            <w:tcW w:type="dxa" w:w="2448"/>
            <w:vAlign w:val="center"/>
            <w:shd w:fill="F1F5F9"/>
          </w:tcPr>
          <w:p>
            <w:pPr>
              <w:keepNext w:val="0"/>
              <w:spacing w:after="20" w:before="20" w:line="259" w:lineRule="auto"/>
            </w:pPr>
            <w:r>
              <w:rPr>
                <w:rFonts w:ascii="DejaVu Sans" w:hAnsi="DejaVu Sans"/>
                <w:b w:val="0"/>
                <w:i w:val="0"/>
                <w:color w:val="000000"/>
                <w:sz w:val="18"/>
              </w:rPr>
              <w:t>VT-04</w:t>
            </w:r>
          </w:p>
        </w:tc>
      </w:tr>
      <w:tr>
        <w:trPr>
          <w:cantSplit/>
        </w:trPr>
        <w:tc>
          <w:tcPr>
            <w:tcW w:type="dxa" w:w="1843"/>
            <w:vAlign w:val="center"/>
            <w:shd w:fill="FFFFFF"/>
          </w:tcPr>
          <w:p>
            <w:pPr>
              <w:keepNext w:val="0"/>
              <w:spacing w:after="20" w:before="20" w:line="259" w:lineRule="auto"/>
            </w:pPr>
            <w:r>
              <w:rPr>
                <w:rFonts w:ascii="DejaVu Sans" w:hAnsi="DejaVu Sans"/>
                <w:b w:val="0"/>
                <w:i w:val="0"/>
                <w:color w:val="000000"/>
                <w:sz w:val="18"/>
              </w:rPr>
              <w:t>BR-47–49</w:t>
            </w:r>
          </w:p>
        </w:tc>
        <w:tc>
          <w:tcPr>
            <w:tcW w:type="dxa" w:w="2362"/>
            <w:vAlign w:val="center"/>
            <w:shd w:fill="FFFFFF"/>
          </w:tcPr>
          <w:p>
            <w:pPr>
              <w:keepNext w:val="0"/>
              <w:spacing w:after="20" w:before="20" w:line="259" w:lineRule="auto"/>
            </w:pPr>
            <w:r>
              <w:rPr>
                <w:rFonts w:ascii="DejaVu Sans" w:hAnsi="DejaVu Sans"/>
                <w:b w:val="0"/>
                <w:i w:val="0"/>
                <w:color w:val="000000"/>
                <w:sz w:val="18"/>
              </w:rPr>
              <w:t>D-01, D-03, D-07–08</w:t>
            </w:r>
          </w:p>
        </w:tc>
        <w:tc>
          <w:tcPr>
            <w:tcW w:type="dxa" w:w="3571"/>
            <w:vAlign w:val="center"/>
            <w:shd w:fill="FFFFFF"/>
          </w:tcPr>
          <w:p>
            <w:pPr>
              <w:keepNext w:val="0"/>
              <w:spacing w:after="20" w:before="20" w:line="259" w:lineRule="auto"/>
            </w:pPr>
            <w:r>
              <w:rPr>
                <w:rFonts w:ascii="DejaVu Sans" w:hAnsi="DejaVu Sans"/>
                <w:b w:val="0"/>
                <w:i w:val="0"/>
                <w:color w:val="000000"/>
                <w:sz w:val="18"/>
              </w:rPr>
              <w:t>HLD-01–03, HLD-16, HLD-19, HLD-21–22; LLD-01–03, LLD-08–10</w:t>
            </w:r>
          </w:p>
        </w:tc>
        <w:tc>
          <w:tcPr>
            <w:tcW w:type="dxa" w:w="2448"/>
            <w:vAlign w:val="center"/>
            <w:shd w:fill="FFFFFF"/>
          </w:tcPr>
          <w:p>
            <w:pPr>
              <w:keepNext w:val="0"/>
              <w:spacing w:after="20" w:before="20" w:line="259" w:lineRule="auto"/>
            </w:pPr>
            <w:r>
              <w:rPr>
                <w:rFonts w:ascii="DejaVu Sans" w:hAnsi="DejaVu Sans"/>
                <w:b w:val="0"/>
                <w:i w:val="0"/>
                <w:color w:val="000000"/>
                <w:sz w:val="18"/>
              </w:rPr>
              <w:t>VT-16</w:t>
            </w:r>
          </w:p>
        </w:tc>
      </w:tr>
      <w:tr>
        <w:trPr>
          <w:cantSplit/>
        </w:trPr>
        <w:tc>
          <w:tcPr>
            <w:tcW w:type="dxa" w:w="1843"/>
            <w:vAlign w:val="center"/>
            <w:shd w:fill="F1F5F9"/>
          </w:tcPr>
          <w:p>
            <w:pPr>
              <w:keepNext w:val="0"/>
              <w:spacing w:after="20" w:before="20" w:line="259" w:lineRule="auto"/>
            </w:pPr>
            <w:r>
              <w:rPr>
                <w:rFonts w:ascii="DejaVu Sans" w:hAnsi="DejaVu Sans"/>
                <w:b w:val="0"/>
                <w:i w:val="0"/>
                <w:color w:val="000000"/>
                <w:sz w:val="18"/>
              </w:rPr>
              <w:t>NFR-01</w:t>
            </w:r>
          </w:p>
        </w:tc>
        <w:tc>
          <w:tcPr>
            <w:tcW w:type="dxa" w:w="2362"/>
            <w:vAlign w:val="center"/>
            <w:shd w:fill="F1F5F9"/>
          </w:tcPr>
          <w:p>
            <w:pPr>
              <w:keepNext w:val="0"/>
              <w:spacing w:after="20" w:before="20" w:line="259" w:lineRule="auto"/>
            </w:pPr>
            <w:r>
              <w:rPr>
                <w:rFonts w:ascii="DejaVu Sans" w:hAnsi="DejaVu Sans"/>
                <w:b w:val="0"/>
                <w:i w:val="0"/>
                <w:color w:val="000000"/>
                <w:sz w:val="18"/>
              </w:rPr>
              <w:t>D-02, D-04–06</w:t>
            </w:r>
          </w:p>
        </w:tc>
        <w:tc>
          <w:tcPr>
            <w:tcW w:type="dxa" w:w="3571"/>
            <w:vAlign w:val="center"/>
            <w:shd w:fill="F1F5F9"/>
          </w:tcPr>
          <w:p>
            <w:pPr>
              <w:keepNext w:val="0"/>
              <w:spacing w:after="20" w:before="20" w:line="259" w:lineRule="auto"/>
            </w:pPr>
            <w:r>
              <w:rPr>
                <w:rFonts w:ascii="DejaVu Sans" w:hAnsi="DejaVu Sans"/>
                <w:b w:val="0"/>
                <w:i w:val="0"/>
                <w:color w:val="000000"/>
                <w:sz w:val="18"/>
              </w:rPr>
              <w:t>HLD-04, HLD-08–09, HLD-13–14, HLD-20, HLD-23–24; LLD-04, LLD-06, LLD-09–10</w:t>
            </w:r>
          </w:p>
        </w:tc>
        <w:tc>
          <w:tcPr>
            <w:tcW w:type="dxa" w:w="2448"/>
            <w:vAlign w:val="center"/>
            <w:shd w:fill="F1F5F9"/>
          </w:tcPr>
          <w:p>
            <w:pPr>
              <w:keepNext w:val="0"/>
              <w:spacing w:after="20" w:before="20" w:line="259" w:lineRule="auto"/>
            </w:pPr>
            <w:r>
              <w:rPr>
                <w:rFonts w:ascii="DejaVu Sans" w:hAnsi="DejaVu Sans"/>
                <w:b w:val="0"/>
                <w:i w:val="0"/>
                <w:color w:val="000000"/>
                <w:sz w:val="18"/>
              </w:rPr>
              <w:t>VT-08, VT-17</w:t>
            </w:r>
          </w:p>
        </w:tc>
      </w:tr>
      <w:tr>
        <w:trPr>
          <w:cantSplit/>
        </w:trPr>
        <w:tc>
          <w:tcPr>
            <w:tcW w:type="dxa" w:w="1843"/>
            <w:vAlign w:val="center"/>
            <w:shd w:fill="FFFFFF"/>
          </w:tcPr>
          <w:p>
            <w:pPr>
              <w:keepNext w:val="0"/>
              <w:spacing w:after="20" w:before="20" w:line="259" w:lineRule="auto"/>
            </w:pPr>
            <w:r>
              <w:rPr>
                <w:rFonts w:ascii="DejaVu Sans" w:hAnsi="DejaVu Sans"/>
                <w:b w:val="0"/>
                <w:i w:val="0"/>
                <w:color w:val="000000"/>
                <w:sz w:val="18"/>
              </w:rPr>
              <w:t>NFR-04–05</w:t>
            </w:r>
          </w:p>
        </w:tc>
        <w:tc>
          <w:tcPr>
            <w:tcW w:type="dxa" w:w="2362"/>
            <w:vAlign w:val="center"/>
            <w:shd w:fill="FFFFFF"/>
          </w:tcPr>
          <w:p>
            <w:pPr>
              <w:keepNext w:val="0"/>
              <w:spacing w:after="20" w:before="20" w:line="259" w:lineRule="auto"/>
            </w:pPr>
            <w:r>
              <w:rPr>
                <w:rFonts w:ascii="DejaVu Sans" w:hAnsi="DejaVu Sans"/>
                <w:b w:val="0"/>
                <w:i w:val="0"/>
                <w:color w:val="000000"/>
                <w:sz w:val="18"/>
              </w:rPr>
              <w:t>D-03–04, D-07–08</w:t>
            </w:r>
          </w:p>
        </w:tc>
        <w:tc>
          <w:tcPr>
            <w:tcW w:type="dxa" w:w="3571"/>
            <w:vAlign w:val="center"/>
            <w:shd w:fill="FFFFFF"/>
          </w:tcPr>
          <w:p>
            <w:pPr>
              <w:keepNext w:val="0"/>
              <w:spacing w:after="20" w:before="20" w:line="259" w:lineRule="auto"/>
            </w:pPr>
            <w:r>
              <w:rPr>
                <w:rFonts w:ascii="DejaVu Sans" w:hAnsi="DejaVu Sans"/>
                <w:b w:val="0"/>
                <w:i w:val="0"/>
                <w:color w:val="000000"/>
                <w:sz w:val="18"/>
              </w:rPr>
              <w:t>HLD-01–06, HLD-15–19, HLD-21, HLD-23–24; LLD-01–05, LLD-08–10</w:t>
            </w:r>
          </w:p>
        </w:tc>
        <w:tc>
          <w:tcPr>
            <w:tcW w:type="dxa" w:w="2448"/>
            <w:vAlign w:val="center"/>
            <w:shd w:fill="FFFFFF"/>
          </w:tcPr>
          <w:p>
            <w:pPr>
              <w:keepNext w:val="0"/>
              <w:spacing w:after="20" w:before="20" w:line="259" w:lineRule="auto"/>
            </w:pPr>
            <w:r>
              <w:rPr>
                <w:rFonts w:ascii="DejaVu Sans" w:hAnsi="DejaVu Sans"/>
                <w:b w:val="0"/>
                <w:i w:val="0"/>
                <w:color w:val="000000"/>
                <w:sz w:val="18"/>
              </w:rPr>
              <w:t>VT-02, VT-13–16</w:t>
            </w:r>
          </w:p>
        </w:tc>
      </w:tr>
      <w:tr>
        <w:trPr>
          <w:cantSplit/>
        </w:trPr>
        <w:tc>
          <w:tcPr>
            <w:tcW w:type="dxa" w:w="1843"/>
            <w:vAlign w:val="center"/>
            <w:shd w:fill="F1F5F9"/>
          </w:tcPr>
          <w:p>
            <w:pPr>
              <w:keepNext w:val="0"/>
              <w:spacing w:after="20" w:before="20" w:line="259" w:lineRule="auto"/>
            </w:pPr>
            <w:r>
              <w:rPr>
                <w:rFonts w:ascii="DejaVu Sans" w:hAnsi="DejaVu Sans"/>
                <w:b w:val="0"/>
                <w:i w:val="0"/>
                <w:color w:val="000000"/>
                <w:sz w:val="18"/>
              </w:rPr>
              <w:t>NFR-07–08</w:t>
            </w:r>
          </w:p>
        </w:tc>
        <w:tc>
          <w:tcPr>
            <w:tcW w:type="dxa" w:w="2362"/>
            <w:vAlign w:val="center"/>
            <w:shd w:fill="F1F5F9"/>
          </w:tcPr>
          <w:p>
            <w:pPr>
              <w:keepNext w:val="0"/>
              <w:spacing w:after="20" w:before="20" w:line="259" w:lineRule="auto"/>
            </w:pPr>
            <w:r>
              <w:rPr>
                <w:rFonts w:ascii="DejaVu Sans" w:hAnsi="DejaVu Sans"/>
                <w:b w:val="0"/>
                <w:i w:val="0"/>
                <w:color w:val="000000"/>
                <w:sz w:val="18"/>
              </w:rPr>
              <w:t>D-02, D-04–07, D-09</w:t>
            </w:r>
          </w:p>
        </w:tc>
        <w:tc>
          <w:tcPr>
            <w:tcW w:type="dxa" w:w="3571"/>
            <w:vAlign w:val="center"/>
            <w:shd w:fill="F1F5F9"/>
          </w:tcPr>
          <w:p>
            <w:pPr>
              <w:keepNext w:val="0"/>
              <w:spacing w:after="20" w:before="20" w:line="259" w:lineRule="auto"/>
            </w:pPr>
            <w:r>
              <w:rPr>
                <w:rFonts w:ascii="DejaVu Sans" w:hAnsi="DejaVu Sans"/>
                <w:b w:val="0"/>
                <w:i w:val="0"/>
                <w:color w:val="000000"/>
                <w:sz w:val="18"/>
              </w:rPr>
              <w:t>HLD-09–12, HLD-14, HLD-17, HLD-19, HLD-22–24; LLD-06–08, LLD-10</w:t>
            </w:r>
          </w:p>
        </w:tc>
        <w:tc>
          <w:tcPr>
            <w:tcW w:type="dxa" w:w="2448"/>
            <w:vAlign w:val="center"/>
            <w:shd w:fill="F1F5F9"/>
          </w:tcPr>
          <w:p>
            <w:pPr>
              <w:keepNext w:val="0"/>
              <w:spacing w:after="20" w:before="20" w:line="259" w:lineRule="auto"/>
            </w:pPr>
            <w:r>
              <w:rPr>
                <w:rFonts w:ascii="DejaVu Sans" w:hAnsi="DejaVu Sans"/>
                <w:b w:val="0"/>
                <w:i w:val="0"/>
                <w:color w:val="000000"/>
                <w:sz w:val="18"/>
              </w:rPr>
              <w:t>VT-07–08, VT-14, VT-17</w:t>
            </w:r>
          </w:p>
        </w:tc>
      </w:tr>
      <w:tr>
        <w:trPr>
          <w:cantSplit/>
        </w:trPr>
        <w:tc>
          <w:tcPr>
            <w:tcW w:type="dxa" w:w="1843"/>
            <w:vAlign w:val="center"/>
            <w:shd w:fill="FFFFFF"/>
          </w:tcPr>
          <w:p>
            <w:pPr>
              <w:keepNext w:val="0"/>
              <w:spacing w:after="20" w:before="20" w:line="259" w:lineRule="auto"/>
            </w:pPr>
            <w:r>
              <w:rPr>
                <w:rFonts w:ascii="DejaVu Sans" w:hAnsi="DejaVu Sans"/>
                <w:b w:val="0"/>
                <w:i w:val="0"/>
                <w:color w:val="000000"/>
                <w:sz w:val="18"/>
              </w:rPr>
              <w:t>NFR-09–10</w:t>
            </w:r>
          </w:p>
        </w:tc>
        <w:tc>
          <w:tcPr>
            <w:tcW w:type="dxa" w:w="2362"/>
            <w:vAlign w:val="center"/>
            <w:shd w:fill="FFFFFF"/>
          </w:tcPr>
          <w:p>
            <w:pPr>
              <w:keepNext w:val="0"/>
              <w:spacing w:after="20" w:before="20" w:line="259" w:lineRule="auto"/>
            </w:pPr>
            <w:r>
              <w:rPr>
                <w:rFonts w:ascii="DejaVu Sans" w:hAnsi="DejaVu Sans"/>
                <w:b w:val="0"/>
                <w:i w:val="0"/>
                <w:color w:val="000000"/>
                <w:sz w:val="18"/>
              </w:rPr>
              <w:t>D-01, D-03–04, D-07–08</w:t>
            </w:r>
          </w:p>
        </w:tc>
        <w:tc>
          <w:tcPr>
            <w:tcW w:type="dxa" w:w="3571"/>
            <w:vAlign w:val="center"/>
            <w:shd w:fill="FFFFFF"/>
          </w:tcPr>
          <w:p>
            <w:pPr>
              <w:keepNext w:val="0"/>
              <w:spacing w:after="20" w:before="20" w:line="259" w:lineRule="auto"/>
            </w:pPr>
            <w:r>
              <w:rPr>
                <w:rFonts w:ascii="DejaVu Sans" w:hAnsi="DejaVu Sans"/>
                <w:b w:val="0"/>
                <w:i w:val="0"/>
                <w:color w:val="000000"/>
                <w:sz w:val="18"/>
              </w:rPr>
              <w:t>HLD-03, HLD-05–07, HLD-11, HLD-17, HLD-23–24; LLD-03–05, LLD-07–10</w:t>
            </w:r>
          </w:p>
        </w:tc>
        <w:tc>
          <w:tcPr>
            <w:tcW w:type="dxa" w:w="2448"/>
            <w:vAlign w:val="center"/>
            <w:shd w:fill="FFFFFF"/>
          </w:tcPr>
          <w:p>
            <w:pPr>
              <w:keepNext w:val="0"/>
              <w:spacing w:after="20" w:before="20" w:line="259" w:lineRule="auto"/>
            </w:pPr>
            <w:r>
              <w:rPr>
                <w:rFonts w:ascii="DejaVu Sans" w:hAnsi="DejaVu Sans"/>
                <w:b w:val="0"/>
                <w:i w:val="0"/>
                <w:color w:val="000000"/>
                <w:sz w:val="18"/>
              </w:rPr>
              <w:t>VT-02–03, VT-11, VT-14</w:t>
            </w:r>
          </w:p>
        </w:tc>
      </w:tr>
      <w:tr>
        <w:trPr>
          <w:cantSplit/>
        </w:trPr>
        <w:tc>
          <w:tcPr>
            <w:tcW w:type="dxa" w:w="1843"/>
            <w:vAlign w:val="center"/>
            <w:shd w:fill="F1F5F9"/>
          </w:tcPr>
          <w:p>
            <w:pPr>
              <w:keepNext w:val="0"/>
              <w:spacing w:after="20" w:before="20" w:line="259" w:lineRule="auto"/>
            </w:pPr>
            <w:r>
              <w:rPr>
                <w:rFonts w:ascii="DejaVu Sans" w:hAnsi="DejaVu Sans"/>
                <w:b w:val="0"/>
                <w:i w:val="0"/>
                <w:color w:val="000000"/>
                <w:sz w:val="18"/>
              </w:rPr>
              <w:t>NFR-11</w:t>
            </w:r>
          </w:p>
        </w:tc>
        <w:tc>
          <w:tcPr>
            <w:tcW w:type="dxa" w:w="2362"/>
            <w:vAlign w:val="center"/>
            <w:shd w:fill="F1F5F9"/>
          </w:tcPr>
          <w:p>
            <w:pPr>
              <w:keepNext w:val="0"/>
              <w:spacing w:after="20" w:before="20" w:line="259" w:lineRule="auto"/>
            </w:pPr>
            <w:r>
              <w:rPr>
                <w:rFonts w:ascii="DejaVu Sans" w:hAnsi="DejaVu Sans"/>
                <w:b w:val="0"/>
                <w:i w:val="0"/>
                <w:color w:val="000000"/>
                <w:sz w:val="18"/>
              </w:rPr>
              <w:t>D-01, D-03–04</w:t>
            </w:r>
          </w:p>
        </w:tc>
        <w:tc>
          <w:tcPr>
            <w:tcW w:type="dxa" w:w="3571"/>
            <w:vAlign w:val="center"/>
            <w:shd w:fill="F1F5F9"/>
          </w:tcPr>
          <w:p>
            <w:pPr>
              <w:keepNext w:val="0"/>
              <w:spacing w:after="20" w:before="20" w:line="259" w:lineRule="auto"/>
            </w:pPr>
            <w:r>
              <w:rPr>
                <w:rFonts w:ascii="DejaVu Sans" w:hAnsi="DejaVu Sans"/>
                <w:b w:val="0"/>
                <w:i w:val="0"/>
                <w:color w:val="000000"/>
                <w:sz w:val="18"/>
              </w:rPr>
              <w:t>HLD-01–03, HLD-23; LLD-01–03</w:t>
            </w:r>
          </w:p>
        </w:tc>
        <w:tc>
          <w:tcPr>
            <w:tcW w:type="dxa" w:w="2448"/>
            <w:vAlign w:val="center"/>
            <w:shd w:fill="F1F5F9"/>
          </w:tcPr>
          <w:p>
            <w:pPr>
              <w:keepNext w:val="0"/>
              <w:spacing w:after="20" w:before="20" w:line="259" w:lineRule="auto"/>
            </w:pPr>
            <w:r>
              <w:rPr>
                <w:rFonts w:ascii="DejaVu Sans" w:hAnsi="DejaVu Sans"/>
                <w:b w:val="0"/>
                <w:i w:val="0"/>
                <w:color w:val="000000"/>
                <w:sz w:val="18"/>
              </w:rPr>
              <w:t>VT-01</w:t>
            </w:r>
          </w:p>
        </w:tc>
      </w:tr>
    </w:tbl>
    <w:p>
      <w:pPr>
        <w:spacing w:after="40"/>
      </w:pPr>
    </w:p>
    <w:p>
      <w:r>
        <w:rPr>
          <w:rFonts w:ascii="DejaVu Sans" w:hAnsi="DejaVu Sans"/>
          <w:b/>
          <w:i w:val="0"/>
          <w:color w:val="000000"/>
        </w:rPr>
        <w:t>Open decisions inherited from the source documents:</w:t>
      </w:r>
      <w:r>
        <w:rPr>
          <w:rFonts w:ascii="DejaVu Sans" w:hAnsi="DejaVu Sans"/>
          <w:b w:val="0"/>
          <w:i w:val="0"/>
          <w:color w:val="000000"/>
        </w:rPr>
        <w:t xml:space="preserve"> exact initial area polygons/order and eligible documents; fare formula/rates, quote validity, USD↔LBP/cash treatment and commission; ACK timeout, background-driver eligibility and bounded reoffers; sign-in, phone visibility, retention and targets; SOS staffing/channels, review/case policy and kiosk operating model. The only agreed offer acceptance window is </w:t>
      </w:r>
      <w:r>
        <w:rPr>
          <w:rFonts w:ascii="DejaVu Sans" w:hAnsi="DejaVu Sans"/>
          <w:b/>
          <w:i w:val="0"/>
          <w:color w:val="000000"/>
        </w:rPr>
        <w:t>three seconds after app ACK</w:t>
      </w:r>
      <w:r>
        <w:rPr>
          <w:rFonts w:ascii="DejaVu Sans" w:hAnsi="DejaVu Sans"/>
          <w:b w:val="0"/>
          <w:i w:val="0"/>
          <w:color w:val="000000"/>
        </w:rPr>
        <w:t>. See BRS OD-01–16 and LLD section 14 for the decision owners and implementation dependencies.</w:t>
      </w:r>
    </w:p>
    <w:p>
      <w:r>
        <w:rPr>
          <w:rFonts w:ascii="DejaVu Sans" w:hAnsi="DejaVu Sans"/>
          <w:b/>
          <w:i w:val="0"/>
          <w:color w:val="000000"/>
        </w:rPr>
        <w:t>Review boundary:</w:t>
      </w:r>
      <w:r>
        <w:rPr>
          <w:rFonts w:ascii="DejaVu Sans" w:hAnsi="DejaVu Sans"/>
          <w:b w:val="0"/>
          <w:i w:val="0"/>
          <w:color w:val="000000"/>
        </w:rPr>
        <w:t xml:space="preserve"> These diagrams provide the requested visual reference to the approved BRS and HLD and the LLD draft. LLD and diagram approval remain pending. It does not resolve TBD business policy or authorize implementation, payment activation or production launch.</w:t>
      </w:r>
    </w:p>
    <w:sectPr w:rsidR="00FC693F" w:rsidRPr="0006063C" w:rsidSect="00034616">
      <w:headerReference w:type="default" r:id="rId9"/>
      <w:footerReference w:type="default" r:id="rId10"/>
      <w:pgSz w:w="12240" w:h="15840"/>
      <w:pgMar w:top="950" w:right="1008" w:bottom="950"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DejaVu Sans" w:hAnsi="DejaVu Sans"/>
        <w:b w:val="0"/>
        <w:i w:val="0"/>
        <w:color w:val="000000"/>
        <w:sz w:val="17"/>
      </w:rPr>
      <w:t xml:space="preserve">Page </w:t>
    </w:r>
    <w:r>
      <w:rPr>
        <w:rFonts w:ascii="DejaVu Sans" w:hAnsi="DejaVu Sans"/>
        <w:b w:val="0"/>
        <w:i w:val="0"/>
        <w:color w:val="000000"/>
        <w:sz w:val="17"/>
      </w:rPr>
      <w:fldChar w:fldCharType="begin"/>
      <w:instrText> PAGE </w:instrText>
      <w:fldChar w:fldCharType="end"/>
    </w:r>
    <w:r>
      <w:rPr>
        <w:rFonts w:ascii="DejaVu Sans" w:hAnsi="DejaVu Sans"/>
        <w:b w:val="0"/>
        <w:i w:val="0"/>
        <w:color w:val="000000"/>
        <w:sz w:val="17"/>
      </w:rPr>
      <w:t xml:space="preserve"> of </w:t>
    </w:r>
    <w:r>
      <w:rPr>
        <w:rFonts w:ascii="DejaVu Sans" w:hAnsi="DejaVu Sans"/>
        <w:b w:val="0"/>
        <w:i w:val="0"/>
        <w:color w:val="000000"/>
        <w:sz w:val="17"/>
      </w:rPr>
      <w:fldChar w:fldCharType="begin"/>
      <w:instrText>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DejaVu Sans" w:hAnsi="DejaVu Sans"/>
        <w:b w:val="0"/>
        <w:i w:val="0"/>
        <w:color w:val="000000"/>
        <w:sz w:val="17"/>
      </w:rPr>
      <w:t>WASSELNE   Business and technical architecture views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DejaVu Sans" w:hAnsi="DejaVu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DejaVu Sans" w:hAnsi="DejaVu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DejaVu Sans" w:hAnsi="DejaVu San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DejaVu Sans" w:hAnsi="DejaVu San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DejaVu Sans" w:hAnsi="DejaVu Sans"/>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40" w:before="0"/>
    </w:pPr>
    <w:rPr>
      <w:rFonts w:asciiTheme="majorHAnsi" w:eastAsiaTheme="majorEastAsia" w:hAnsiTheme="majorHAnsi" w:cstheme="majorBidi" w:ascii="DejaVu Sans" w:hAnsi="DejaVu Sans"/>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DejaVu Sans" w:hAnsi="DejaVu Sans"/>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DejaVu Sans" w:hAnsi="DejaVu Sans"/>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DejaVu Sans" w:hAnsi="DejaVu Sans"/>
      <w:b/>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Wasselne Business and technical architecture views</dc:title>
  <dc:subject>Business and technical architecture views</dc:subject>
  <dc:creator>Wasselne</dc:creator>
  <cp:keywords/>
  <dc:description/>
  <cp:lastModifiedBy/>
  <cp:revision>1</cp:revision>
  <dcterms:created xsi:type="dcterms:W3CDTF">2013-12-23T23:15:00Z</dcterms:created>
  <dcterms:modified xsi:type="dcterms:W3CDTF">2013-12-23T23:15:00Z</dcterms:modified>
  <cp:category/>
</cp:coreProperties>
</file>