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Wasselne High Level Design</w:t>
      </w:r>
    </w:p>
    <w:p>
      <w:pPr>
        <w:spacing w:after="200"/>
      </w:pPr>
      <w:r>
        <w:t>Defines the component responsibilities, data ownership, interactions, deployment approach and failure handling for Wasselne. The architecture keeps ride assignment transactional and separates durable state from live driver presence.</w:t>
      </w:r>
    </w:p>
    <w:p>
      <w:r>
        <w:rPr>
          <w:rFonts w:ascii="DejaVu Sans" w:hAnsi="DejaVu Sans"/>
          <w:b/>
          <w:i w:val="0"/>
          <w:color w:val="000000"/>
          <w:sz w:val="20"/>
        </w:rPr>
        <w:t xml:space="preserve">Status  </w:t>
      </w:r>
      <w:r>
        <w:rPr>
          <w:rFonts w:ascii="DejaVu Sans" w:hAnsi="DejaVu Sans"/>
          <w:b w:val="0"/>
          <w:i w:val="0"/>
          <w:color w:val="000000"/>
          <w:sz w:val="20"/>
        </w:rPr>
        <w:t>Approved architecture baseline</w:t>
      </w:r>
    </w:p>
    <w:p>
      <w:pPr>
        <w:spacing w:after="200"/>
      </w:pPr>
      <w:r>
        <w:rPr>
          <w:rFonts w:ascii="DejaVu Sans" w:hAnsi="DejaVu Sans"/>
          <w:b w:val="0"/>
          <w:i w:val="0"/>
          <w:color w:val="000000"/>
          <w:sz w:val="19"/>
        </w:rPr>
        <w:t>Word edition 0.2  |  Source baseline 0.1  |  23 September 2026</w:t>
      </w:r>
    </w:p>
    <w:p>
      <w:pPr>
        <w:pStyle w:val="Heading2"/>
      </w:pPr>
      <w:r>
        <w:t>Contents</w:t>
      </w:r>
    </w:p>
    <w:p>
      <w:pPr>
        <w:spacing w:after="40" w:line="247" w:lineRule="auto"/>
      </w:pPr>
      <w:hyperlink w:anchor="HLD_1">
        <w:r>
          <w:rPr>
            <w:rFonts w:ascii="DejaVu Sans" w:hAnsi="DejaVu Sans"/>
            <w:sz w:val="20"/>
            <w:color w:val="000000"/>
          </w:rPr>
          <w:t>1 Purpose boundaries and decisions</w:t>
        </w:r>
      </w:hyperlink>
    </w:p>
    <w:p>
      <w:pPr>
        <w:spacing w:after="40" w:line="247" w:lineRule="auto"/>
      </w:pPr>
      <w:hyperlink w:anchor="HLD_2">
        <w:r>
          <w:rPr>
            <w:rFonts w:ascii="DejaVu Sans" w:hAnsi="DejaVu Sans"/>
            <w:sz w:val="20"/>
            <w:color w:val="000000"/>
          </w:rPr>
          <w:t>2 Logical component catalogue</w:t>
        </w:r>
      </w:hyperlink>
    </w:p>
    <w:p>
      <w:pPr>
        <w:spacing w:after="40" w:line="247" w:lineRule="auto"/>
      </w:pPr>
      <w:hyperlink w:anchor="HLD_3">
        <w:r>
          <w:rPr>
            <w:rFonts w:ascii="DejaVu Sans" w:hAnsi="DejaVu Sans"/>
            <w:sz w:val="20"/>
            <w:color w:val="000000"/>
          </w:rPr>
          <w:t>3 Data ownership and trust boundaries</w:t>
        </w:r>
      </w:hyperlink>
    </w:p>
    <w:p>
      <w:pPr>
        <w:spacing w:after="40" w:line="247" w:lineRule="auto"/>
      </w:pPr>
      <w:hyperlink w:anchor="HLD_4">
        <w:r>
          <w:rPr>
            <w:rFonts w:ascii="DejaVu Sans" w:hAnsi="DejaVu Sans"/>
            <w:sz w:val="20"/>
            <w:color w:val="000000"/>
          </w:rPr>
          <w:t>4 Key interactions and consistency model</w:t>
        </w:r>
      </w:hyperlink>
    </w:p>
    <w:p>
      <w:pPr>
        <w:spacing w:after="40" w:line="247" w:lineRule="auto"/>
      </w:pPr>
      <w:hyperlink w:anchor="HLD_5">
        <w:r>
          <w:rPr>
            <w:rFonts w:ascii="DejaVu Sans" w:hAnsi="DejaVu Sans"/>
            <w:sz w:val="20"/>
            <w:color w:val="000000"/>
          </w:rPr>
          <w:t>5 Failure handling and recovery</w:t>
        </w:r>
      </w:hyperlink>
    </w:p>
    <w:p>
      <w:pPr>
        <w:spacing w:after="40" w:line="247" w:lineRule="auto"/>
      </w:pPr>
      <w:hyperlink w:anchor="HLD_6">
        <w:r>
          <w:rPr>
            <w:rFonts w:ascii="DejaVu Sans" w:hAnsi="DejaVu Sans"/>
            <w:sz w:val="20"/>
            <w:color w:val="000000"/>
          </w:rPr>
          <w:t>6 Security privacy and operational controls</w:t>
        </w:r>
      </w:hyperlink>
    </w:p>
    <w:p>
      <w:pPr>
        <w:spacing w:after="40" w:line="247" w:lineRule="auto"/>
      </w:pPr>
      <w:hyperlink w:anchor="HLD_7">
        <w:r>
          <w:rPr>
            <w:rFonts w:ascii="DejaVu Sans" w:hAnsi="DejaVu Sans"/>
            <w:sz w:val="20"/>
            <w:color w:val="000000"/>
          </w:rPr>
          <w:t>7 Runtime and deployment topology</w:t>
        </w:r>
      </w:hyperlink>
    </w:p>
    <w:p>
      <w:pPr>
        <w:spacing w:after="40" w:line="247" w:lineRule="auto"/>
      </w:pPr>
      <w:hyperlink w:anchor="HLD_8">
        <w:r>
          <w:rPr>
            <w:rFonts w:ascii="DejaVu Sans" w:hAnsi="DejaVu Sans"/>
            <w:sz w:val="20"/>
            <w:color w:val="000000"/>
          </w:rPr>
          <w:t>8 Quality strategy and release evidence</w:t>
        </w:r>
      </w:hyperlink>
    </w:p>
    <w:p>
      <w:pPr>
        <w:spacing w:after="40" w:line="247" w:lineRule="auto"/>
      </w:pPr>
      <w:hyperlink w:anchor="HLD_9">
        <w:r>
          <w:rPr>
            <w:rFonts w:ascii="DejaVu Sans" w:hAnsi="DejaVu Sans"/>
            <w:sz w:val="20"/>
            <w:color w:val="000000"/>
          </w:rPr>
          <w:t>9 Requirements traceability matrix</w:t>
        </w:r>
      </w:hyperlink>
    </w:p>
    <w:p>
      <w:pPr>
        <w:spacing w:after="40" w:line="247" w:lineRule="auto"/>
      </w:pPr>
      <w:hyperlink w:anchor="HLD_10">
        <w:r>
          <w:rPr>
            <w:rFonts w:ascii="DejaVu Sans" w:hAnsi="DejaVu Sans"/>
            <w:sz w:val="20"/>
            <w:color w:val="000000"/>
          </w:rPr>
          <w:t>10 Open decisions and approval gate</w:t>
        </w:r>
      </w:hyperlink>
    </w:p>
    <w:p>
      <w:pPr>
        <w:spacing w:after="40" w:line="247" w:lineRule="auto"/>
      </w:pPr>
      <w:hyperlink w:anchor="HLD_11">
        <w:r>
          <w:rPr>
            <w:rFonts w:ascii="DejaVu Sans" w:hAnsi="DejaVu Sans"/>
            <w:sz w:val="20"/>
            <w:color w:val="000000"/>
          </w:rPr>
          <w:t>Appendix A Architecture views</w:t>
        </w:r>
      </w:hyperlink>
    </w:p>
    <w:p>
      <w:r>
        <w:br w:type="page"/>
      </w:r>
    </w:p>
    <w:p>
      <w:bookmarkStart w:id="1054" w:name="HLD_1"/>
      <w:pPr>
        <w:pStyle w:val="Heading1"/>
      </w:pPr>
      <w:r>
        <w:t>1 Purpose boundaries and decisions</w:t>
      </w:r>
      <w:bookmarkEnd w:id="1054"/>
    </w:p>
    <w:p>
      <w:r>
        <w:rPr>
          <w:rFonts w:ascii="DejaVu Sans" w:hAnsi="DejaVu Sans"/>
          <w:b w:val="0"/>
          <w:i w:val="0"/>
          <w:color w:val="000000"/>
        </w:rPr>
        <w:t>This HLD translates the approved Wasselne business requirements BR-01–BR-49 and NFR-01–NFR-12 into system responsibilities, data ownership, interaction flows, deployment boundaries, and safeguards. It is an architecture proposal. It does not claim that the system is implemented, that integrations have been contracted, or that open business policies have been decided.</w:t>
      </w:r>
    </w:p>
    <w:p>
      <w:r>
        <w:rPr>
          <w:rFonts w:ascii="DejaVu Sans" w:hAnsi="DejaVu Sans"/>
          <w:b/>
          <w:i w:val="0"/>
          <w:color w:val="000000"/>
        </w:rPr>
        <w:t>Launch scope:</w:t>
      </w:r>
      <w:r>
        <w:rPr>
          <w:rFonts w:ascii="DejaVu Sans" w:hAnsi="DejaVu Sans"/>
          <w:b w:val="0"/>
          <w:i w:val="0"/>
          <w:color w:val="000000"/>
        </w:rPr>
        <w:t xml:space="preserve"> staged activation of selected Lebanon service areas (candidate names: Zgharta, Ehden, Batroun, Jbeil, Beirut, Jounieh, Tripoli/Tarablos, Koura, Bcharre), immediate car/taxi, motorcycle, and tuk-tuk ride requests where enabled, mainly independent drivers, rider and driver mobile apps, admin web console, user-selected Arabic/English/French, CMS-set fares shown to rider and driver, cash at launch, reciprocal reviews, saved places, post-trip help, and configurable SOS. The three-second acceptance window begins when the driver's app acknowledges receipt. Exact map boundaries, delivery-acknowledgment timeout, vehicle eligibility, rates, and policies remain open.</w:t>
      </w:r>
    </w:p>
    <w:p>
      <w:r>
        <w:rPr>
          <w:rFonts w:ascii="DejaVu Sans" w:hAnsi="DejaVu Sans"/>
          <w:b/>
          <w:i w:val="0"/>
          <w:color w:val="000000"/>
        </w:rPr>
        <w:t>Explicit exclusions from enabled first-release flows:</w:t>
      </w:r>
      <w:r>
        <w:rPr>
          <w:rFonts w:ascii="DejaVu Sans" w:hAnsi="DejaVu Sans"/>
          <w:b w:val="0"/>
          <w:i w:val="0"/>
          <w:color w:val="000000"/>
        </w:rPr>
        <w:t xml:space="preserve"> scheduled ride booking and live OMT, Wish/Whish, or bank collection. Their configuration names and future extension seams may exist, but no provider transactions or customer charges may occur until separately authorized.</w:t>
      </w:r>
    </w:p>
    <w:p>
      <w:pPr>
        <w:pStyle w:val="Heading2"/>
      </w:pPr>
      <w:r>
        <w:t>1 1 Proposed architecture choices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872"/>
        <w:gridCol w:w="2635"/>
        <w:gridCol w:w="3989"/>
        <w:gridCol w:w="1728"/>
      </w:tblGrid>
      <w:tr>
        <w:trPr>
          <w:cantSplit/>
          <w:tblHeader/>
        </w:trPr>
        <w:tc>
          <w:tcPr>
            <w:tcW w:type="dxa" w:w="1872"/>
            <w:vAlign w:val="center"/>
            <w:shd w:fill="173A5E"/>
          </w:tcPr>
          <w:p>
            <w:pPr>
              <w:keepNext w:val="0"/>
              <w:spacing w:after="20" w:before="20" w:line="259" w:lineRule="auto"/>
            </w:pPr>
            <w:r>
              <w:rPr>
                <w:rFonts w:ascii="DejaVu Sans" w:hAnsi="DejaVu Sans"/>
                <w:b/>
                <w:i w:val="0"/>
                <w:color w:val="FFFFFF"/>
                <w:sz w:val="18"/>
              </w:rPr>
              <w:t>Decision</w:t>
            </w:r>
          </w:p>
        </w:tc>
        <w:tc>
          <w:tcPr>
            <w:tcW w:type="dxa" w:w="2635"/>
            <w:vAlign w:val="center"/>
            <w:shd w:fill="173A5E"/>
          </w:tcPr>
          <w:p>
            <w:pPr>
              <w:keepNext w:val="0"/>
              <w:spacing w:after="20" w:before="20" w:line="259" w:lineRule="auto"/>
            </w:pPr>
            <w:r>
              <w:rPr>
                <w:rFonts w:ascii="DejaVu Sans" w:hAnsi="DejaVu Sans"/>
                <w:b/>
                <w:i w:val="0"/>
                <w:color w:val="FFFFFF"/>
                <w:sz w:val="18"/>
              </w:rPr>
              <w:t>Proposed choice</w:t>
            </w:r>
          </w:p>
        </w:tc>
        <w:tc>
          <w:tcPr>
            <w:tcW w:type="dxa" w:w="3989"/>
            <w:vAlign w:val="center"/>
            <w:shd w:fill="173A5E"/>
          </w:tcPr>
          <w:p>
            <w:pPr>
              <w:keepNext w:val="0"/>
              <w:spacing w:after="20" w:before="20" w:line="259" w:lineRule="auto"/>
            </w:pPr>
            <w:r>
              <w:rPr>
                <w:rFonts w:ascii="DejaVu Sans" w:hAnsi="DejaVu Sans"/>
                <w:b/>
                <w:i w:val="0"/>
                <w:color w:val="FFFFFF"/>
                <w:sz w:val="18"/>
              </w:rPr>
              <w:t>Reason and boundary</w:t>
            </w:r>
          </w:p>
        </w:tc>
        <w:tc>
          <w:tcPr>
            <w:tcW w:type="dxa" w:w="1728"/>
            <w:vAlign w:val="center"/>
            <w:shd w:fill="173A5E"/>
          </w:tcPr>
          <w:p>
            <w:pPr>
              <w:keepNext w:val="0"/>
              <w:spacing w:after="20" w:before="20" w:line="259" w:lineRule="auto"/>
            </w:pPr>
            <w:r>
              <w:rPr>
                <w:rFonts w:ascii="DejaVu Sans" w:hAnsi="DejaVu Sans"/>
                <w:b/>
                <w:i w:val="0"/>
                <w:color w:val="FFFFFF"/>
                <w:sz w:val="18"/>
              </w:rPr>
              <w:t>Trace</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Deployable backend</w:t>
            </w:r>
          </w:p>
        </w:tc>
        <w:tc>
          <w:tcPr>
            <w:tcW w:type="dxa" w:w="2635"/>
            <w:vAlign w:val="center"/>
            <w:shd w:fill="FFFFFF"/>
          </w:tcPr>
          <w:p>
            <w:pPr>
              <w:keepNext w:val="0"/>
              <w:spacing w:after="20" w:before="20" w:line="259" w:lineRule="auto"/>
            </w:pPr>
            <w:r>
              <w:rPr>
                <w:rFonts w:ascii="DejaVu Sans" w:hAnsi="DejaVu Sans"/>
                <w:b w:val="0"/>
                <w:i w:val="0"/>
                <w:color w:val="000000"/>
                <w:sz w:val="18"/>
              </w:rPr>
              <w:t>TypeScript/NestJS modular monolith, with API/WebSocket runtime and background worker runtime from one codebase.</w:t>
            </w:r>
          </w:p>
        </w:tc>
        <w:tc>
          <w:tcPr>
            <w:tcW w:type="dxa" w:w="3989"/>
            <w:vAlign w:val="center"/>
            <w:shd w:fill="FFFFFF"/>
          </w:tcPr>
          <w:p>
            <w:pPr>
              <w:keepNext w:val="0"/>
              <w:spacing w:after="20" w:before="20" w:line="259" w:lineRule="auto"/>
            </w:pPr>
            <w:r>
              <w:rPr>
                <w:rFonts w:ascii="DejaVu Sans" w:hAnsi="DejaVu Sans"/>
                <w:b w:val="0"/>
                <w:i w:val="0"/>
                <w:color w:val="000000"/>
                <w:sz w:val="18"/>
              </w:rPr>
              <w:t>A single transactional domain makes three-second serial dispatch and trip/fare consistency easier to govern at the initial scale. Independent processes allow different resource profiles without an early distributed-service estate.</w:t>
            </w:r>
          </w:p>
        </w:tc>
        <w:tc>
          <w:tcPr>
            <w:tcW w:type="dxa" w:w="1728"/>
            <w:vAlign w:val="center"/>
            <w:shd w:fill="FFFFFF"/>
          </w:tcPr>
          <w:p>
            <w:pPr>
              <w:keepNext w:val="0"/>
              <w:spacing w:after="20" w:before="20" w:line="259" w:lineRule="auto"/>
            </w:pPr>
            <w:r>
              <w:rPr>
                <w:rFonts w:ascii="DejaVu Sans" w:hAnsi="DejaVu Sans"/>
                <w:b w:val="0"/>
                <w:i w:val="0"/>
                <w:color w:val="000000"/>
                <w:sz w:val="18"/>
              </w:rPr>
              <w:t>BR-12–19, NFR-01–02, NFR-07</w:t>
            </w:r>
          </w:p>
        </w:tc>
      </w:tr>
      <w:tr>
        <w:trPr>
          <w:cantSplit/>
        </w:trPr>
        <w:tc>
          <w:tcPr>
            <w:tcW w:type="dxa" w:w="1872"/>
            <w:vAlign w:val="center"/>
            <w:shd w:fill="F1F5F9"/>
          </w:tcPr>
          <w:p>
            <w:pPr>
              <w:keepNext w:val="0"/>
              <w:spacing w:after="20" w:before="20" w:line="259" w:lineRule="auto"/>
            </w:pPr>
            <w:r>
              <w:rPr>
                <w:rFonts w:ascii="DejaVu Sans" w:hAnsi="DejaVu Sans"/>
                <w:b w:val="0"/>
                <w:i w:val="0"/>
                <w:color w:val="000000"/>
                <w:sz w:val="18"/>
              </w:rPr>
              <w:t>Mobile</w:t>
            </w:r>
          </w:p>
        </w:tc>
        <w:tc>
          <w:tcPr>
            <w:tcW w:type="dxa" w:w="2635"/>
            <w:vAlign w:val="center"/>
            <w:shd w:fill="F1F5F9"/>
          </w:tcPr>
          <w:p>
            <w:pPr>
              <w:keepNext w:val="0"/>
              <w:spacing w:after="20" w:before="20" w:line="259" w:lineRule="auto"/>
            </w:pPr>
            <w:r>
              <w:rPr>
                <w:rFonts w:ascii="DejaVu Sans" w:hAnsi="DejaVu Sans"/>
                <w:b w:val="0"/>
                <w:i w:val="0"/>
                <w:color w:val="000000"/>
                <w:sz w:val="18"/>
              </w:rPr>
              <w:t>Separate Flutter/Dart rider and driver apps with shared API models, localization, and design tokens. Platform-specific modules handle background location and notifications.</w:t>
            </w:r>
          </w:p>
        </w:tc>
        <w:tc>
          <w:tcPr>
            <w:tcW w:type="dxa" w:w="3989"/>
            <w:vAlign w:val="center"/>
            <w:shd w:fill="F1F5F9"/>
          </w:tcPr>
          <w:p>
            <w:pPr>
              <w:keepNext w:val="0"/>
              <w:spacing w:after="20" w:before="20" w:line="259" w:lineRule="auto"/>
            </w:pPr>
            <w:r>
              <w:rPr>
                <w:rFonts w:ascii="DejaVu Sans" w:hAnsi="DejaVu Sans"/>
                <w:b w:val="0"/>
                <w:i w:val="0"/>
                <w:color w:val="000000"/>
                <w:sz w:val="18"/>
              </w:rPr>
              <w:t>Gives distinct workflows and one shared mobile foundation while respecting Android/iOS lifecycle rules.</w:t>
            </w:r>
          </w:p>
        </w:tc>
        <w:tc>
          <w:tcPr>
            <w:tcW w:type="dxa" w:w="1728"/>
            <w:vAlign w:val="center"/>
            <w:shd w:fill="F1F5F9"/>
          </w:tcPr>
          <w:p>
            <w:pPr>
              <w:keepNext w:val="0"/>
              <w:spacing w:after="20" w:before="20" w:line="259" w:lineRule="auto"/>
            </w:pPr>
            <w:r>
              <w:rPr>
                <w:rFonts w:ascii="DejaVu Sans" w:hAnsi="DejaVu Sans"/>
                <w:b w:val="0"/>
                <w:i w:val="0"/>
                <w:color w:val="000000"/>
                <w:sz w:val="18"/>
              </w:rPr>
              <w:t>BR-01–04, BR-08–09, BR-21, NFR-06, NFR-11–12</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Operations web</w:t>
            </w:r>
          </w:p>
        </w:tc>
        <w:tc>
          <w:tcPr>
            <w:tcW w:type="dxa" w:w="2635"/>
            <w:vAlign w:val="center"/>
            <w:shd w:fill="FFFFFF"/>
          </w:tcPr>
          <w:p>
            <w:pPr>
              <w:keepNext w:val="0"/>
              <w:spacing w:after="20" w:before="20" w:line="259" w:lineRule="auto"/>
            </w:pPr>
            <w:r>
              <w:rPr>
                <w:rFonts w:ascii="DejaVu Sans" w:hAnsi="DejaVu Sans"/>
                <w:b w:val="0"/>
                <w:i w:val="0"/>
                <w:color w:val="000000"/>
                <w:sz w:val="18"/>
              </w:rPr>
              <w:t>Responsive React/Next.js with TypeScript, role-specific pages and an API.</w:t>
            </w:r>
          </w:p>
        </w:tc>
        <w:tc>
          <w:tcPr>
            <w:tcW w:type="dxa" w:w="3989"/>
            <w:vAlign w:val="center"/>
            <w:shd w:fill="FFFFFF"/>
          </w:tcPr>
          <w:p>
            <w:pPr>
              <w:keepNext w:val="0"/>
              <w:spacing w:after="20" w:before="20" w:line="259" w:lineRule="auto"/>
            </w:pPr>
            <w:r>
              <w:rPr>
                <w:rFonts w:ascii="DejaVu Sans" w:hAnsi="DejaVu Sans"/>
                <w:b w:val="0"/>
                <w:i w:val="0"/>
                <w:color w:val="000000"/>
                <w:sz w:val="18"/>
              </w:rPr>
              <w:t>Supports approvals, fares, active trips, cases, reviews, SOS, and audit workflows; precise kiosk interaction remains undecided.</w:t>
            </w:r>
          </w:p>
        </w:tc>
        <w:tc>
          <w:tcPr>
            <w:tcW w:type="dxa" w:w="1728"/>
            <w:vAlign w:val="center"/>
            <w:shd w:fill="FFFFFF"/>
          </w:tcPr>
          <w:p>
            <w:pPr>
              <w:keepNext w:val="0"/>
              <w:spacing w:after="20" w:before="20" w:line="259" w:lineRule="auto"/>
            </w:pPr>
            <w:r>
              <w:rPr>
                <w:rFonts w:ascii="DejaVu Sans" w:hAnsi="DejaVu Sans"/>
                <w:b w:val="0"/>
                <w:i w:val="0"/>
                <w:color w:val="000000"/>
                <w:sz w:val="18"/>
              </w:rPr>
              <w:t>BR-06, BR-35, BR-40–45, NFR-09, NFR-11</w:t>
            </w:r>
          </w:p>
        </w:tc>
      </w:tr>
      <w:tr>
        <w:trPr>
          <w:cantSplit/>
        </w:trPr>
        <w:tc>
          <w:tcPr>
            <w:tcW w:type="dxa" w:w="1872"/>
            <w:vAlign w:val="center"/>
            <w:shd w:fill="F1F5F9"/>
          </w:tcPr>
          <w:p>
            <w:pPr>
              <w:keepNext w:val="0"/>
              <w:spacing w:after="20" w:before="20" w:line="259" w:lineRule="auto"/>
            </w:pPr>
            <w:r>
              <w:rPr>
                <w:rFonts w:ascii="DejaVu Sans" w:hAnsi="DejaVu Sans"/>
                <w:b w:val="0"/>
                <w:i w:val="0"/>
                <w:color w:val="000000"/>
                <w:sz w:val="18"/>
              </w:rPr>
              <w:t>System of record</w:t>
            </w:r>
          </w:p>
        </w:tc>
        <w:tc>
          <w:tcPr>
            <w:tcW w:type="dxa" w:w="2635"/>
            <w:vAlign w:val="center"/>
            <w:shd w:fill="F1F5F9"/>
          </w:tcPr>
          <w:p>
            <w:pPr>
              <w:keepNext w:val="0"/>
              <w:spacing w:after="20" w:before="20" w:line="259" w:lineRule="auto"/>
            </w:pPr>
            <w:r>
              <w:rPr>
                <w:rFonts w:ascii="DejaVu Sans" w:hAnsi="DejaVu Sans"/>
                <w:b w:val="0"/>
                <w:i w:val="0"/>
                <w:color w:val="000000"/>
                <w:sz w:val="18"/>
              </w:rPr>
              <w:t>Managed PostgreSQL with PostGIS.</w:t>
            </w:r>
          </w:p>
        </w:tc>
        <w:tc>
          <w:tcPr>
            <w:tcW w:type="dxa" w:w="3989"/>
            <w:vAlign w:val="center"/>
            <w:shd w:fill="F1F5F9"/>
          </w:tcPr>
          <w:p>
            <w:pPr>
              <w:keepNext w:val="0"/>
              <w:spacing w:after="20" w:before="20" w:line="259" w:lineRule="auto"/>
            </w:pPr>
            <w:r>
              <w:rPr>
                <w:rFonts w:ascii="DejaVu Sans" w:hAnsi="DejaVu Sans"/>
                <w:b w:val="0"/>
                <w:i w:val="0"/>
                <w:color w:val="000000"/>
                <w:sz w:val="18"/>
              </w:rPr>
              <w:t>Transactions and database constraints govern booking, one-at-a-time offers, assignments, prices, cash records, cases, and reviews; spatial polygons govern coverage.</w:t>
            </w:r>
          </w:p>
        </w:tc>
        <w:tc>
          <w:tcPr>
            <w:tcW w:type="dxa" w:w="1728"/>
            <w:vAlign w:val="center"/>
            <w:shd w:fill="F1F5F9"/>
          </w:tcPr>
          <w:p>
            <w:pPr>
              <w:keepNext w:val="0"/>
              <w:spacing w:after="20" w:before="20" w:line="259" w:lineRule="auto"/>
            </w:pPr>
            <w:r>
              <w:rPr>
                <w:rFonts w:ascii="DejaVu Sans" w:hAnsi="DejaVu Sans"/>
                <w:b w:val="0"/>
                <w:i w:val="0"/>
                <w:color w:val="000000"/>
                <w:sz w:val="18"/>
              </w:rPr>
              <w:t>BR-10, BR-12–29, BR-38–49, NFR-08</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Live lookup</w:t>
            </w:r>
          </w:p>
        </w:tc>
        <w:tc>
          <w:tcPr>
            <w:tcW w:type="dxa" w:w="2635"/>
            <w:vAlign w:val="center"/>
            <w:shd w:fill="FFFFFF"/>
          </w:tcPr>
          <w:p>
            <w:pPr>
              <w:keepNext w:val="0"/>
              <w:spacing w:after="20" w:before="20" w:line="259" w:lineRule="auto"/>
            </w:pPr>
            <w:r>
              <w:rPr>
                <w:rFonts w:ascii="DejaVu Sans" w:hAnsi="DejaVu Sans"/>
                <w:b w:val="0"/>
                <w:i w:val="0"/>
                <w:color w:val="000000"/>
                <w:sz w:val="18"/>
              </w:rPr>
              <w:t>Managed Redis GEOSEARCH plus short-lived presence/freshness metadata.</w:t>
            </w:r>
          </w:p>
        </w:tc>
        <w:tc>
          <w:tcPr>
            <w:tcW w:type="dxa" w:w="3989"/>
            <w:vAlign w:val="center"/>
            <w:shd w:fill="FFFFFF"/>
          </w:tcPr>
          <w:p>
            <w:pPr>
              <w:keepNext w:val="0"/>
              <w:spacing w:after="20" w:before="20" w:line="259" w:lineRule="auto"/>
            </w:pPr>
            <w:r>
              <w:rPr>
                <w:rFonts w:ascii="DejaVu Sans" w:hAnsi="DejaVu Sans"/>
                <w:b w:val="0"/>
                <w:i w:val="0"/>
                <w:color w:val="000000"/>
                <w:sz w:val="18"/>
              </w:rPr>
              <w:t>Efficient shortlist and transient location; never the authority for a ride assignment, payment, or active offer.</w:t>
            </w:r>
          </w:p>
        </w:tc>
        <w:tc>
          <w:tcPr>
            <w:tcW w:type="dxa" w:w="1728"/>
            <w:vAlign w:val="center"/>
            <w:shd w:fill="FFFFFF"/>
          </w:tcPr>
          <w:p>
            <w:pPr>
              <w:keepNext w:val="0"/>
              <w:spacing w:after="20" w:before="20" w:line="259" w:lineRule="auto"/>
            </w:pPr>
            <w:r>
              <w:rPr>
                <w:rFonts w:ascii="DejaVu Sans" w:hAnsi="DejaVu Sans"/>
                <w:b w:val="0"/>
                <w:i w:val="0"/>
                <w:color w:val="000000"/>
                <w:sz w:val="18"/>
              </w:rPr>
              <w:t>BR-07–13, BR-21, NFR-03</w:t>
            </w:r>
          </w:p>
        </w:tc>
      </w:tr>
      <w:tr>
        <w:trPr>
          <w:cantSplit/>
        </w:trPr>
        <w:tc>
          <w:tcPr>
            <w:tcW w:type="dxa" w:w="1872"/>
            <w:vAlign w:val="center"/>
            <w:shd w:fill="F1F5F9"/>
          </w:tcPr>
          <w:p>
            <w:pPr>
              <w:keepNext w:val="0"/>
              <w:spacing w:after="20" w:before="20" w:line="259" w:lineRule="auto"/>
            </w:pPr>
            <w:r>
              <w:rPr>
                <w:rFonts w:ascii="DejaVu Sans" w:hAnsi="DejaVu Sans"/>
                <w:b w:val="0"/>
                <w:i w:val="0"/>
                <w:color w:val="000000"/>
                <w:sz w:val="18"/>
              </w:rPr>
              <w:t>External capabilities</w:t>
            </w:r>
          </w:p>
        </w:tc>
        <w:tc>
          <w:tcPr>
            <w:tcW w:type="dxa" w:w="2635"/>
            <w:vAlign w:val="center"/>
            <w:shd w:fill="F1F5F9"/>
          </w:tcPr>
          <w:p>
            <w:pPr>
              <w:keepNext w:val="0"/>
              <w:spacing w:after="20" w:before="20" w:line="259" w:lineRule="auto"/>
            </w:pPr>
            <w:r>
              <w:rPr>
                <w:rFonts w:ascii="DejaVu Sans" w:hAnsi="DejaVu Sans"/>
                <w:b w:val="0"/>
                <w:i w:val="0"/>
                <w:color w:val="000000"/>
                <w:sz w:val="18"/>
              </w:rPr>
              <w:t>Provider adapters for maps/routes/geocoding, notifications, translation, telephony, and later payments; private object storage for documents/evidence.</w:t>
            </w:r>
          </w:p>
        </w:tc>
        <w:tc>
          <w:tcPr>
            <w:tcW w:type="dxa" w:w="3989"/>
            <w:vAlign w:val="center"/>
            <w:shd w:fill="F1F5F9"/>
          </w:tcPr>
          <w:p>
            <w:pPr>
              <w:keepNext w:val="0"/>
              <w:spacing w:after="20" w:before="20" w:line="259" w:lineRule="auto"/>
            </w:pPr>
            <w:r>
              <w:rPr>
                <w:rFonts w:ascii="DejaVu Sans" w:hAnsi="DejaVu Sans"/>
                <w:b w:val="0"/>
                <w:i w:val="0"/>
                <w:color w:val="000000"/>
                <w:sz w:val="18"/>
              </w:rPr>
              <w:t>Isolates vendor changes and prevents a failed third party from rewriting ride truth. Provider selection and terms require later review.</w:t>
            </w:r>
          </w:p>
        </w:tc>
        <w:tc>
          <w:tcPr>
            <w:tcW w:type="dxa" w:w="1728"/>
            <w:vAlign w:val="center"/>
            <w:shd w:fill="F1F5F9"/>
          </w:tcPr>
          <w:p>
            <w:pPr>
              <w:keepNext w:val="0"/>
              <w:spacing w:after="20" w:before="20" w:line="259" w:lineRule="auto"/>
            </w:pPr>
            <w:r>
              <w:rPr>
                <w:rFonts w:ascii="DejaVu Sans" w:hAnsi="DejaVu Sans"/>
                <w:b w:val="0"/>
                <w:i w:val="0"/>
                <w:color w:val="000000"/>
                <w:sz w:val="18"/>
              </w:rPr>
              <w:t>BR-05, BR-11, BR-28–37, BR-47–49</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Hosting</w:t>
            </w:r>
          </w:p>
        </w:tc>
        <w:tc>
          <w:tcPr>
            <w:tcW w:type="dxa" w:w="2635"/>
            <w:vAlign w:val="center"/>
            <w:shd w:fill="FFFFFF"/>
          </w:tcPr>
          <w:p>
            <w:pPr>
              <w:keepNext w:val="0"/>
              <w:spacing w:after="20" w:before="20" w:line="259" w:lineRule="auto"/>
            </w:pPr>
            <w:r>
              <w:rPr>
                <w:rFonts w:ascii="DejaVu Sans" w:hAnsi="DejaVu Sans"/>
                <w:b w:val="0"/>
                <w:i w:val="0"/>
                <w:color w:val="000000"/>
                <w:sz w:val="18"/>
              </w:rPr>
              <w:t>Managed container platform in a suitable region, two or more app tasks across availability zones, managed database failover, managed Redis, private storage, staging, CI/CD, and monitoring.</w:t>
            </w:r>
          </w:p>
        </w:tc>
        <w:tc>
          <w:tcPr>
            <w:tcW w:type="dxa" w:w="3989"/>
            <w:vAlign w:val="center"/>
            <w:shd w:fill="FFFFFF"/>
          </w:tcPr>
          <w:p>
            <w:pPr>
              <w:keepNext w:val="0"/>
              <w:spacing w:after="20" w:before="20" w:line="259" w:lineRule="auto"/>
            </w:pPr>
            <w:r>
              <w:rPr>
                <w:rFonts w:ascii="DejaVu Sans" w:hAnsi="DejaVu Sans"/>
                <w:b w:val="0"/>
                <w:i w:val="0"/>
                <w:color w:val="000000"/>
                <w:sz w:val="18"/>
              </w:rPr>
              <w:t>Reduces single-host failures, with explicit degraded behavior when DB, network, push, or maps are unavailable. Region and cost need validation.</w:t>
            </w:r>
          </w:p>
        </w:tc>
        <w:tc>
          <w:tcPr>
            <w:tcW w:type="dxa" w:w="1728"/>
            <w:vAlign w:val="center"/>
            <w:shd w:fill="FFFFFF"/>
          </w:tcPr>
          <w:p>
            <w:pPr>
              <w:keepNext w:val="0"/>
              <w:spacing w:after="20" w:before="20" w:line="259" w:lineRule="auto"/>
            </w:pPr>
            <w:r>
              <w:rPr>
                <w:rFonts w:ascii="DejaVu Sans" w:hAnsi="DejaVu Sans"/>
                <w:b w:val="0"/>
                <w:i w:val="0"/>
                <w:color w:val="000000"/>
                <w:sz w:val="18"/>
              </w:rPr>
              <w:t>NFR-01–05, NFR-07–10</w:t>
            </w:r>
          </w:p>
        </w:tc>
      </w:tr>
    </w:tbl>
    <w:p>
      <w:pPr>
        <w:spacing w:after="40"/>
      </w:pPr>
    </w:p>
    <w:p>
      <w:r>
        <w:rPr>
          <w:rFonts w:ascii="DejaVu Sans" w:hAnsi="DejaVu Sans"/>
          <w:b w:val="0"/>
          <w:i w:val="0"/>
          <w:color w:val="000000"/>
        </w:rPr>
        <w:t>No Kafka, H3, Kubernetes, second primary database, or independent matching service is required for the initial scale. A measured bottleneck or organizational requirement can reopen those choices in a later architecture decision record.</w:t>
      </w:r>
    </w:p>
    <w:p>
      <w:bookmarkStart w:id="1059" w:name="HLD_2"/>
      <w:pPr>
        <w:pStyle w:val="Heading1"/>
      </w:pPr>
      <w:r>
        <w:t>2 Logical component catalogue</w:t>
      </w:r>
      <w:bookmarkEnd w:id="1059"/>
    </w:p>
    <w:p>
      <w:r>
        <w:rPr>
          <w:rFonts w:ascii="DejaVu Sans" w:hAnsi="DejaVu Sans"/>
          <w:b w:val="0"/>
          <w:i w:val="0"/>
          <w:color w:val="000000"/>
        </w:rPr>
        <w:t xml:space="preserve">Each component has a stable </w:t>
      </w:r>
      <w:r>
        <w:rPr>
          <w:rFonts w:ascii="DejaVu Sans" w:hAnsi="DejaVu Sans"/>
          <w:b/>
          <w:i w:val="0"/>
          <w:color w:val="000000"/>
        </w:rPr>
        <w:t>HLD ID</w:t>
      </w:r>
      <w:r>
        <w:rPr>
          <w:rFonts w:ascii="DejaVu Sans" w:hAnsi="DejaVu Sans"/>
          <w:b w:val="0"/>
          <w:i w:val="0"/>
          <w:color w:val="000000"/>
        </w:rPr>
        <w:t xml:space="preserve"> for requirements traceability. "Owns" names logical responsibilities; modules may share one PostgreSQL deployment but may not mutate one another's records without an explicit domain operation.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5616"/>
        <w:gridCol w:w="3485"/>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HLD ID</w:t>
            </w:r>
          </w:p>
        </w:tc>
        <w:tc>
          <w:tcPr>
            <w:tcW w:type="dxa" w:w="5616"/>
            <w:vAlign w:val="center"/>
            <w:shd w:fill="173A5E"/>
          </w:tcPr>
          <w:p>
            <w:pPr>
              <w:keepNext w:val="0"/>
              <w:spacing w:after="20" w:before="20" w:line="259" w:lineRule="auto"/>
            </w:pPr>
            <w:r>
              <w:rPr>
                <w:rFonts w:ascii="DejaVu Sans" w:hAnsi="DejaVu Sans"/>
                <w:b/>
                <w:i w:val="0"/>
                <w:color w:val="FFFFFF"/>
                <w:sz w:val="18"/>
              </w:rPr>
              <w:t>Component and responsibility</w:t>
            </w:r>
          </w:p>
        </w:tc>
        <w:tc>
          <w:tcPr>
            <w:tcW w:type="dxa" w:w="3485"/>
            <w:vAlign w:val="center"/>
            <w:shd w:fill="173A5E"/>
          </w:tcPr>
          <w:p>
            <w:pPr>
              <w:keepNext w:val="0"/>
              <w:spacing w:after="20" w:before="20" w:line="259" w:lineRule="auto"/>
            </w:pPr>
            <w:r>
              <w:rPr>
                <w:rFonts w:ascii="DejaVu Sans" w:hAnsi="DejaVu Sans"/>
                <w:b/>
                <w:i w:val="0"/>
                <w:color w:val="FFFFFF"/>
                <w:sz w:val="18"/>
              </w:rPr>
              <w:t>Parent requirements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HLD-01</w:t>
            </w:r>
          </w:p>
        </w:tc>
        <w:tc>
          <w:tcPr>
            <w:tcW w:type="dxa" w:w="5616"/>
            <w:vAlign w:val="center"/>
            <w:shd w:fill="FFFFFF"/>
          </w:tcPr>
          <w:p>
            <w:pPr>
              <w:keepNext w:val="0"/>
              <w:spacing w:after="20" w:before="20" w:line="259" w:lineRule="auto"/>
            </w:pPr>
            <w:r>
              <w:rPr>
                <w:rFonts w:ascii="DejaVu Sans" w:hAnsi="DejaVu Sans"/>
                <w:b w:val="0"/>
                <w:i w:val="0"/>
                <w:color w:val="000000"/>
                <w:sz w:val="18"/>
              </w:rPr>
              <w:t>Rider mobile client: language, map, saved places, request, fare approval, trip, chat, call, SOS, support, review.</w:t>
            </w:r>
            <w:r>
              <w:rPr>
                <w:rFonts w:ascii="DejaVu Sans" w:hAnsi="DejaVu Sans"/>
                <w:b w:val="0"/>
                <w:i w:val="0"/>
                <w:color w:val="000000"/>
                <w:sz w:val="18"/>
              </w:rPr>
              <w:br/>
            </w:r>
            <w:r>
              <w:rPr>
                <w:rFonts w:ascii="DejaVu Sans" w:hAnsi="DejaVu Sans"/>
                <w:b w:val="0"/>
                <w:i w:val="0"/>
                <w:color w:val="000000"/>
                <w:sz w:val="18"/>
              </w:rPr>
              <w:t>Authenticated rider session and local UI state; server owns ride truth.</w:t>
            </w:r>
          </w:p>
        </w:tc>
        <w:tc>
          <w:tcPr>
            <w:tcW w:type="dxa" w:w="3485"/>
            <w:vAlign w:val="center"/>
            <w:shd w:fill="FFFFFF"/>
          </w:tcPr>
          <w:p>
            <w:pPr>
              <w:keepNext w:val="0"/>
              <w:spacing w:after="20" w:before="20" w:line="259" w:lineRule="auto"/>
            </w:pPr>
            <w:r>
              <w:rPr>
                <w:rFonts w:ascii="DejaVu Sans" w:hAnsi="DejaVu Sans"/>
                <w:b w:val="0"/>
                <w:i w:val="0"/>
                <w:color w:val="000000"/>
                <w:sz w:val="18"/>
              </w:rPr>
              <w:t>BR-01–04, BR-09–11, BR-14–16, BR-19–23, BR-25–38, BR-46–47, NFR-02, NFR-06, NFR-11</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HLD-02</w:t>
            </w:r>
          </w:p>
        </w:tc>
        <w:tc>
          <w:tcPr>
            <w:tcW w:type="dxa" w:w="5616"/>
            <w:vAlign w:val="center"/>
            <w:shd w:fill="F1F5F9"/>
          </w:tcPr>
          <w:p>
            <w:pPr>
              <w:keepNext w:val="0"/>
              <w:spacing w:after="20" w:before="20" w:line="259" w:lineRule="auto"/>
            </w:pPr>
            <w:r>
              <w:rPr>
                <w:rFonts w:ascii="DejaVu Sans" w:hAnsi="DejaVu Sans"/>
                <w:b w:val="0"/>
                <w:i w:val="0"/>
                <w:color w:val="000000"/>
                <w:sz w:val="18"/>
              </w:rPr>
              <w:t>Driver mobile client: registration, document upload, online/offline, location, offer-receipt acknowledgment and exclusive countdown showing the CMS fare, trip, support/SOS, review.</w:t>
            </w:r>
            <w:r>
              <w:rPr>
                <w:rFonts w:ascii="DejaVu Sans" w:hAnsi="DejaVu Sans"/>
                <w:b w:val="0"/>
                <w:i w:val="0"/>
                <w:color w:val="000000"/>
                <w:sz w:val="18"/>
              </w:rPr>
              <w:br/>
            </w:r>
            <w:r>
              <w:rPr>
                <w:rFonts w:ascii="DejaVu Sans" w:hAnsi="DejaVu Sans"/>
                <w:b w:val="0"/>
                <w:i w:val="0"/>
                <w:color w:val="000000"/>
                <w:sz w:val="18"/>
              </w:rPr>
              <w:t>Permissions and local GPS acquisition; server owns eligibility and offer deadline.</w:t>
            </w:r>
          </w:p>
        </w:tc>
        <w:tc>
          <w:tcPr>
            <w:tcW w:type="dxa" w:w="3485"/>
            <w:vAlign w:val="center"/>
            <w:shd w:fill="F1F5F9"/>
          </w:tcPr>
          <w:p>
            <w:pPr>
              <w:keepNext w:val="0"/>
              <w:spacing w:after="20" w:before="20" w:line="259" w:lineRule="auto"/>
            </w:pPr>
            <w:r>
              <w:rPr>
                <w:rFonts w:ascii="DejaVu Sans" w:hAnsi="DejaVu Sans"/>
                <w:b w:val="0"/>
                <w:i w:val="0"/>
                <w:color w:val="000000"/>
                <w:sz w:val="18"/>
              </w:rPr>
              <w:t>BR-01–08, BR-12–13, BR-16–23, BR-30–39, BR-48, NFR-02–03, NFR-06, NFR-11–12</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HLD-03</w:t>
            </w:r>
          </w:p>
        </w:tc>
        <w:tc>
          <w:tcPr>
            <w:tcW w:type="dxa" w:w="5616"/>
            <w:vAlign w:val="center"/>
            <w:shd w:fill="FFFFFF"/>
          </w:tcPr>
          <w:p>
            <w:pPr>
              <w:keepNext w:val="0"/>
              <w:spacing w:after="20" w:before="20" w:line="259" w:lineRule="auto"/>
            </w:pPr>
            <w:r>
              <w:rPr>
                <w:rFonts w:ascii="DejaVu Sans" w:hAnsi="DejaVu Sans"/>
                <w:b w:val="0"/>
                <w:i w:val="0"/>
                <w:color w:val="000000"/>
                <w:sz w:val="18"/>
              </w:rPr>
              <w:t>Admin web console: approvals, active areas/categories, fare/currency/mode versions, incidents, cases, reviews, permissions, audit.</w:t>
            </w:r>
            <w:r>
              <w:rPr>
                <w:rFonts w:ascii="DejaVu Sans" w:hAnsi="DejaVu Sans"/>
                <w:b w:val="0"/>
                <w:i w:val="0"/>
                <w:color w:val="000000"/>
                <w:sz w:val="18"/>
              </w:rPr>
              <w:br/>
            </w:r>
            <w:r>
              <w:rPr>
                <w:rFonts w:ascii="DejaVu Sans" w:hAnsi="DejaVu Sans"/>
                <w:b w:val="0"/>
                <w:i w:val="0"/>
                <w:color w:val="000000"/>
                <w:sz w:val="18"/>
              </w:rPr>
              <w:t>Authorized administrative commands and projections.</w:t>
            </w:r>
          </w:p>
        </w:tc>
        <w:tc>
          <w:tcPr>
            <w:tcW w:type="dxa" w:w="3485"/>
            <w:vAlign w:val="center"/>
            <w:shd w:fill="FFFFFF"/>
          </w:tcPr>
          <w:p>
            <w:pPr>
              <w:keepNext w:val="0"/>
              <w:spacing w:after="20" w:before="20" w:line="259" w:lineRule="auto"/>
            </w:pPr>
            <w:r>
              <w:rPr>
                <w:rFonts w:ascii="DejaVu Sans" w:hAnsi="DejaVu Sans"/>
                <w:b w:val="0"/>
                <w:i w:val="0"/>
                <w:color w:val="000000"/>
                <w:sz w:val="18"/>
              </w:rPr>
              <w:t>BR-06, BR-14, BR-24–25, BR-35, BR-40–45, BR-49, NFR-09, NFR-11</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HLD-04</w:t>
            </w:r>
          </w:p>
        </w:tc>
        <w:tc>
          <w:tcPr>
            <w:tcW w:type="dxa" w:w="5616"/>
            <w:vAlign w:val="center"/>
            <w:shd w:fill="F1F5F9"/>
          </w:tcPr>
          <w:p>
            <w:pPr>
              <w:keepNext w:val="0"/>
              <w:spacing w:after="20" w:before="20" w:line="259" w:lineRule="auto"/>
            </w:pPr>
            <w:r>
              <w:rPr>
                <w:rFonts w:ascii="DejaVu Sans" w:hAnsi="DejaVu Sans"/>
                <w:b w:val="0"/>
                <w:i w:val="0"/>
                <w:color w:val="000000"/>
                <w:sz w:val="18"/>
              </w:rPr>
              <w:t>Edge/API: load balancer, HTTP endpoints, WebSocket authentication and gateway, input validation, rate limits.</w:t>
            </w:r>
            <w:r>
              <w:rPr>
                <w:rFonts w:ascii="DejaVu Sans" w:hAnsi="DejaVu Sans"/>
                <w:b w:val="0"/>
                <w:i w:val="0"/>
                <w:color w:val="000000"/>
                <w:sz w:val="18"/>
              </w:rPr>
              <w:br/>
            </w:r>
            <w:r>
              <w:rPr>
                <w:rFonts w:ascii="DejaVu Sans" w:hAnsi="DejaVu Sans"/>
                <w:b w:val="0"/>
                <w:i w:val="0"/>
                <w:color w:val="000000"/>
                <w:sz w:val="18"/>
              </w:rPr>
              <w:t>Authenticated request routing, connection lifecycle; no persistent ride truth.</w:t>
            </w:r>
          </w:p>
        </w:tc>
        <w:tc>
          <w:tcPr>
            <w:tcW w:type="dxa" w:w="3485"/>
            <w:vAlign w:val="center"/>
            <w:shd w:fill="F1F5F9"/>
          </w:tcPr>
          <w:p>
            <w:pPr>
              <w:keepNext w:val="0"/>
              <w:spacing w:after="20" w:before="20" w:line="259" w:lineRule="auto"/>
            </w:pPr>
            <w:r>
              <w:rPr>
                <w:rFonts w:ascii="DejaVu Sans" w:hAnsi="DejaVu Sans"/>
                <w:b w:val="0"/>
                <w:i w:val="0"/>
                <w:color w:val="000000"/>
                <w:sz w:val="18"/>
              </w:rPr>
              <w:t>BR-01–04, BR-18–22, BR-30–36, NFR-01–04</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HLD-05</w:t>
            </w:r>
          </w:p>
        </w:tc>
        <w:tc>
          <w:tcPr>
            <w:tcW w:type="dxa" w:w="5616"/>
            <w:vAlign w:val="center"/>
            <w:shd w:fill="FFFFFF"/>
          </w:tcPr>
          <w:p>
            <w:pPr>
              <w:keepNext w:val="0"/>
              <w:spacing w:after="20" w:before="20" w:line="259" w:lineRule="auto"/>
            </w:pPr>
            <w:r>
              <w:rPr>
                <w:rFonts w:ascii="DejaVu Sans" w:hAnsi="DejaVu Sans"/>
                <w:b w:val="0"/>
                <w:i w:val="0"/>
                <w:color w:val="000000"/>
                <w:sz w:val="18"/>
              </w:rPr>
              <w:t>Identity and authorization module: rider/driver/admin identity, sessions, roles, record ownership checks.</w:t>
            </w:r>
            <w:r>
              <w:rPr>
                <w:rFonts w:ascii="DejaVu Sans" w:hAnsi="DejaVu Sans"/>
                <w:b w:val="0"/>
                <w:i w:val="0"/>
                <w:color w:val="000000"/>
                <w:sz w:val="18"/>
              </w:rPr>
              <w:br/>
            </w:r>
            <w:r>
              <w:rPr>
                <w:rFonts w:ascii="DejaVu Sans" w:hAnsi="DejaVu Sans"/>
                <w:b w:val="0"/>
                <w:i w:val="0"/>
                <w:color w:val="000000"/>
                <w:sz w:val="18"/>
              </w:rPr>
              <w:t>Accounts and access policy; exact sign-in method TBD.</w:t>
            </w:r>
          </w:p>
        </w:tc>
        <w:tc>
          <w:tcPr>
            <w:tcW w:type="dxa" w:w="3485"/>
            <w:vAlign w:val="center"/>
            <w:shd w:fill="FFFFFF"/>
          </w:tcPr>
          <w:p>
            <w:pPr>
              <w:keepNext w:val="0"/>
              <w:spacing w:after="20" w:before="20" w:line="259" w:lineRule="auto"/>
            </w:pPr>
            <w:r>
              <w:rPr>
                <w:rFonts w:ascii="DejaVu Sans" w:hAnsi="DejaVu Sans"/>
                <w:b w:val="0"/>
                <w:i w:val="0"/>
                <w:color w:val="000000"/>
                <w:sz w:val="18"/>
              </w:rPr>
              <w:t>BR-02, BR-05–07, BR-30–31, BR-40–43, NFR-04–05, NFR-09</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HLD-06</w:t>
            </w:r>
          </w:p>
        </w:tc>
        <w:tc>
          <w:tcPr>
            <w:tcW w:type="dxa" w:w="5616"/>
            <w:vAlign w:val="center"/>
            <w:shd w:fill="F1F5F9"/>
          </w:tcPr>
          <w:p>
            <w:pPr>
              <w:keepNext w:val="0"/>
              <w:spacing w:after="20" w:before="20" w:line="259" w:lineRule="auto"/>
            </w:pPr>
            <w:r>
              <w:rPr>
                <w:rFonts w:ascii="DejaVu Sans" w:hAnsi="DejaVu Sans"/>
                <w:b w:val="0"/>
                <w:i w:val="0"/>
                <w:color w:val="000000"/>
                <w:sz w:val="18"/>
              </w:rPr>
              <w:t>Driver/vehicle eligibility and uploads: registrations, document metadata/review, approvals, suspensions.</w:t>
            </w:r>
            <w:r>
              <w:rPr>
                <w:rFonts w:ascii="DejaVu Sans" w:hAnsi="DejaVu Sans"/>
                <w:b w:val="0"/>
                <w:i w:val="0"/>
                <w:color w:val="000000"/>
                <w:sz w:val="18"/>
              </w:rPr>
              <w:br/>
            </w:r>
            <w:r>
              <w:rPr>
                <w:rFonts w:ascii="DejaVu Sans" w:hAnsi="DejaVu Sans"/>
                <w:b w:val="0"/>
                <w:i w:val="0"/>
                <w:color w:val="000000"/>
                <w:sz w:val="18"/>
              </w:rPr>
              <w:t>Persistent eligibility state and secure object references.</w:t>
            </w:r>
          </w:p>
        </w:tc>
        <w:tc>
          <w:tcPr>
            <w:tcW w:type="dxa" w:w="3485"/>
            <w:vAlign w:val="center"/>
            <w:shd w:fill="F1F5F9"/>
          </w:tcPr>
          <w:p>
            <w:pPr>
              <w:keepNext w:val="0"/>
              <w:spacing w:after="20" w:before="20" w:line="259" w:lineRule="auto"/>
            </w:pPr>
            <w:r>
              <w:rPr>
                <w:rFonts w:ascii="DejaVu Sans" w:hAnsi="DejaVu Sans"/>
                <w:b w:val="0"/>
                <w:i w:val="0"/>
                <w:color w:val="000000"/>
                <w:sz w:val="18"/>
              </w:rPr>
              <w:t>BR-05–08, BR-41, NFR-04–05, NFR-10</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HLD-07</w:t>
            </w:r>
          </w:p>
        </w:tc>
        <w:tc>
          <w:tcPr>
            <w:tcW w:type="dxa" w:w="5616"/>
            <w:vAlign w:val="center"/>
            <w:shd w:fill="FFFFFF"/>
          </w:tcPr>
          <w:p>
            <w:pPr>
              <w:keepNext w:val="0"/>
              <w:spacing w:after="20" w:before="20" w:line="259" w:lineRule="auto"/>
            </w:pPr>
            <w:r>
              <w:rPr>
                <w:rFonts w:ascii="DejaVu Sans" w:hAnsi="DejaVu Sans"/>
                <w:b w:val="0"/>
                <w:i w:val="0"/>
                <w:color w:val="000000"/>
                <w:sz w:val="18"/>
              </w:rPr>
              <w:t>Service geography and rider places: versioned active polygons/categories, saved named places.</w:t>
            </w:r>
            <w:r>
              <w:rPr>
                <w:rFonts w:ascii="DejaVu Sans" w:hAnsi="DejaVu Sans"/>
                <w:b w:val="0"/>
                <w:i w:val="0"/>
                <w:color w:val="000000"/>
                <w:sz w:val="18"/>
              </w:rPr>
              <w:br/>
            </w:r>
            <w:r>
              <w:rPr>
                <w:rFonts w:ascii="DejaVu Sans" w:hAnsi="DejaVu Sans"/>
                <w:b w:val="0"/>
                <w:i w:val="0"/>
                <w:color w:val="000000"/>
                <w:sz w:val="18"/>
              </w:rPr>
              <w:t>PostGIS zones; user-owned named locations.</w:t>
            </w:r>
          </w:p>
        </w:tc>
        <w:tc>
          <w:tcPr>
            <w:tcW w:type="dxa" w:w="3485"/>
            <w:vAlign w:val="center"/>
            <w:shd w:fill="FFFFFF"/>
          </w:tcPr>
          <w:p>
            <w:pPr>
              <w:keepNext w:val="0"/>
              <w:spacing w:after="20" w:before="20" w:line="259" w:lineRule="auto"/>
            </w:pPr>
            <w:r>
              <w:rPr>
                <w:rFonts w:ascii="DejaVu Sans" w:hAnsi="DejaVu Sans"/>
                <w:b w:val="0"/>
                <w:i w:val="0"/>
                <w:color w:val="000000"/>
                <w:sz w:val="18"/>
              </w:rPr>
              <w:t>BR-09–11, BR-41, BR-45–46, NFR-04</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HLD-08</w:t>
            </w:r>
          </w:p>
        </w:tc>
        <w:tc>
          <w:tcPr>
            <w:tcW w:type="dxa" w:w="5616"/>
            <w:vAlign w:val="center"/>
            <w:shd w:fill="F1F5F9"/>
          </w:tcPr>
          <w:p>
            <w:pPr>
              <w:keepNext w:val="0"/>
              <w:spacing w:after="20" w:before="20" w:line="259" w:lineRule="auto"/>
            </w:pPr>
            <w:r>
              <w:rPr>
                <w:rFonts w:ascii="DejaVu Sans" w:hAnsi="DejaVu Sans"/>
                <w:b w:val="0"/>
                <w:i w:val="0"/>
                <w:color w:val="000000"/>
                <w:sz w:val="18"/>
              </w:rPr>
              <w:t>Location and presence module: driver heartbeat, position accuracy/freshness, Redis geo, selected trip tracking.</w:t>
            </w:r>
            <w:r>
              <w:rPr>
                <w:rFonts w:ascii="DejaVu Sans" w:hAnsi="DejaVu Sans"/>
                <w:b w:val="0"/>
                <w:i w:val="0"/>
                <w:color w:val="000000"/>
                <w:sz w:val="18"/>
              </w:rPr>
              <w:br/>
            </w:r>
            <w:r>
              <w:rPr>
                <w:rFonts w:ascii="DejaVu Sans" w:hAnsi="DejaVu Sans"/>
                <w:b w:val="0"/>
                <w:i w:val="0"/>
                <w:color w:val="000000"/>
                <w:sz w:val="18"/>
              </w:rPr>
              <w:t>Ephemeral position, presence and sampled history only if approved.</w:t>
            </w:r>
          </w:p>
        </w:tc>
        <w:tc>
          <w:tcPr>
            <w:tcW w:type="dxa" w:w="3485"/>
            <w:vAlign w:val="center"/>
            <w:shd w:fill="F1F5F9"/>
          </w:tcPr>
          <w:p>
            <w:pPr>
              <w:keepNext w:val="0"/>
              <w:spacing w:after="20" w:before="20" w:line="259" w:lineRule="auto"/>
            </w:pPr>
            <w:r>
              <w:rPr>
                <w:rFonts w:ascii="DejaVu Sans" w:hAnsi="DejaVu Sans"/>
                <w:b w:val="0"/>
                <w:i w:val="0"/>
                <w:color w:val="000000"/>
                <w:sz w:val="18"/>
              </w:rPr>
              <w:t>BR-07–08, BR-11–13, BR-21–22, NFR-02–04</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HLD-09</w:t>
            </w:r>
          </w:p>
        </w:tc>
        <w:tc>
          <w:tcPr>
            <w:tcW w:type="dxa" w:w="5616"/>
            <w:vAlign w:val="center"/>
            <w:shd w:fill="FFFFFF"/>
          </w:tcPr>
          <w:p>
            <w:pPr>
              <w:keepNext w:val="0"/>
              <w:spacing w:after="20" w:before="20" w:line="259" w:lineRule="auto"/>
            </w:pPr>
            <w:r>
              <w:rPr>
                <w:rFonts w:ascii="DejaVu Sans" w:hAnsi="DejaVu Sans"/>
                <w:b w:val="0"/>
                <w:i w:val="0"/>
                <w:color w:val="000000"/>
                <w:sz w:val="18"/>
              </w:rPr>
              <w:t>Dispatch and offer coordinator: shortlist, one outstanding attempt per request, bounded delivery acknowledgment, three-second acceptance after ACK, decline, reoffer, atomic reserve.</w:t>
            </w:r>
            <w:r>
              <w:rPr>
                <w:rFonts w:ascii="DejaVu Sans" w:hAnsi="DejaVu Sans"/>
                <w:b w:val="0"/>
                <w:i w:val="0"/>
                <w:color w:val="000000"/>
                <w:sz w:val="18"/>
              </w:rPr>
              <w:br/>
            </w:r>
            <w:r>
              <w:rPr>
                <w:rFonts w:ascii="DejaVu Sans" w:hAnsi="DejaVu Sans"/>
                <w:b w:val="0"/>
                <w:i w:val="0"/>
                <w:color w:val="000000"/>
                <w:sz w:val="18"/>
              </w:rPr>
              <w:t>Durable offer state and candidate progression.</w:t>
            </w:r>
          </w:p>
        </w:tc>
        <w:tc>
          <w:tcPr>
            <w:tcW w:type="dxa" w:w="3485"/>
            <w:vAlign w:val="center"/>
            <w:shd w:fill="FFFFFF"/>
          </w:tcPr>
          <w:p>
            <w:pPr>
              <w:keepNext w:val="0"/>
              <w:spacing w:after="20" w:before="20" w:line="259" w:lineRule="auto"/>
            </w:pPr>
            <w:r>
              <w:rPr>
                <w:rFonts w:ascii="DejaVu Sans" w:hAnsi="DejaVu Sans"/>
                <w:b w:val="0"/>
                <w:i w:val="0"/>
                <w:color w:val="000000"/>
                <w:sz w:val="18"/>
              </w:rPr>
              <w:t>BR-12–13, BR-16–18, BR-22, NFR-01–03, NFR-12</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HLD-10</w:t>
            </w:r>
          </w:p>
        </w:tc>
        <w:tc>
          <w:tcPr>
            <w:tcW w:type="dxa" w:w="5616"/>
            <w:vAlign w:val="center"/>
            <w:shd w:fill="F1F5F9"/>
          </w:tcPr>
          <w:p>
            <w:pPr>
              <w:keepNext w:val="0"/>
              <w:spacing w:after="20" w:before="20" w:line="259" w:lineRule="auto"/>
            </w:pPr>
            <w:r>
              <w:rPr>
                <w:rFonts w:ascii="DejaVu Sans" w:hAnsi="DejaVu Sans"/>
                <w:b w:val="0"/>
                <w:i w:val="0"/>
                <w:color w:val="000000"/>
                <w:sz w:val="18"/>
              </w:rPr>
              <w:t>Trip lifecycle: request/confirmation, permitted transitions, cancellation/no-show, participant snapshots, trip history.</w:t>
            </w:r>
            <w:r>
              <w:rPr>
                <w:rFonts w:ascii="DejaVu Sans" w:hAnsi="DejaVu Sans"/>
                <w:b w:val="0"/>
                <w:i w:val="0"/>
                <w:color w:val="000000"/>
                <w:sz w:val="18"/>
              </w:rPr>
              <w:br/>
            </w:r>
            <w:r>
              <w:rPr>
                <w:rFonts w:ascii="DejaVu Sans" w:hAnsi="DejaVu Sans"/>
                <w:b w:val="0"/>
                <w:i w:val="0"/>
                <w:color w:val="000000"/>
                <w:sz w:val="18"/>
              </w:rPr>
              <w:t>Durable trip and assignment state.</w:t>
            </w:r>
          </w:p>
        </w:tc>
        <w:tc>
          <w:tcPr>
            <w:tcW w:type="dxa" w:w="3485"/>
            <w:vAlign w:val="center"/>
            <w:shd w:fill="F1F5F9"/>
          </w:tcPr>
          <w:p>
            <w:pPr>
              <w:keepNext w:val="0"/>
              <w:spacing w:after="20" w:before="20" w:line="259" w:lineRule="auto"/>
            </w:pPr>
            <w:r>
              <w:rPr>
                <w:rFonts w:ascii="DejaVu Sans" w:hAnsi="DejaVu Sans"/>
                <w:b w:val="0"/>
                <w:i w:val="0"/>
                <w:color w:val="000000"/>
                <w:sz w:val="18"/>
              </w:rPr>
              <w:t>BR-09, BR-17–23, BR-26–27, BR-30–31, BR-38–39, NFR-02, NFR-08</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HLD-11</w:t>
            </w:r>
          </w:p>
        </w:tc>
        <w:tc>
          <w:tcPr>
            <w:tcW w:type="dxa" w:w="5616"/>
            <w:vAlign w:val="center"/>
            <w:shd w:fill="FFFFFF"/>
          </w:tcPr>
          <w:p>
            <w:pPr>
              <w:keepNext w:val="0"/>
              <w:spacing w:after="20" w:before="20" w:line="259" w:lineRule="auto"/>
            </w:pPr>
            <w:r>
              <w:rPr>
                <w:rFonts w:ascii="DejaVu Sans" w:hAnsi="DejaVu Sans"/>
                <w:b w:val="0"/>
                <w:i w:val="0"/>
                <w:color w:val="000000"/>
                <w:sz w:val="18"/>
              </w:rPr>
              <w:t>CMS fare configuration and quote: rules/rates, currency, computed fare and immutable per-trip agreement snapshot. Driver has read-only fare display.</w:t>
            </w:r>
            <w:r>
              <w:rPr>
                <w:rFonts w:ascii="DejaVu Sans" w:hAnsi="DejaVu Sans"/>
                <w:b w:val="0"/>
                <w:i w:val="0"/>
                <w:color w:val="000000"/>
                <w:sz w:val="18"/>
              </w:rPr>
              <w:br/>
            </w:r>
            <w:r>
              <w:rPr>
                <w:rFonts w:ascii="DejaVu Sans" w:hAnsi="DejaVu Sans"/>
                <w:b w:val="0"/>
                <w:i w:val="0"/>
                <w:color w:val="000000"/>
                <w:sz w:val="18"/>
              </w:rPr>
              <w:t>Versioned policy and fare agreement; numeric formula TBD.</w:t>
            </w:r>
          </w:p>
        </w:tc>
        <w:tc>
          <w:tcPr>
            <w:tcW w:type="dxa" w:w="3485"/>
            <w:vAlign w:val="center"/>
            <w:shd w:fill="FFFFFF"/>
          </w:tcPr>
          <w:p>
            <w:pPr>
              <w:keepNext w:val="0"/>
              <w:spacing w:after="20" w:before="20" w:line="259" w:lineRule="auto"/>
            </w:pPr>
            <w:r>
              <w:rPr>
                <w:rFonts w:ascii="DejaVu Sans" w:hAnsi="DejaVu Sans"/>
                <w:b w:val="0"/>
                <w:i w:val="0"/>
                <w:color w:val="000000"/>
                <w:sz w:val="18"/>
              </w:rPr>
              <w:t>BR-14–16, BR-24–26, BR-41, BR-44, NFR-09</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HLD-12</w:t>
            </w:r>
          </w:p>
        </w:tc>
        <w:tc>
          <w:tcPr>
            <w:tcW w:type="dxa" w:w="5616"/>
            <w:vAlign w:val="center"/>
            <w:shd w:fill="F1F5F9"/>
          </w:tcPr>
          <w:p>
            <w:pPr>
              <w:keepNext w:val="0"/>
              <w:spacing w:after="20" w:before="20" w:line="259" w:lineRule="auto"/>
            </w:pPr>
            <w:r>
              <w:rPr>
                <w:rFonts w:ascii="DejaVu Sans" w:hAnsi="DejaVu Sans"/>
                <w:b w:val="0"/>
                <w:i w:val="0"/>
                <w:color w:val="000000"/>
                <w:sz w:val="18"/>
              </w:rPr>
              <w:t>Cash and payment capability: cash collection record, reconciliation status, future disabled method registry and provider seam.</w:t>
            </w:r>
            <w:r>
              <w:rPr>
                <w:rFonts w:ascii="DejaVu Sans" w:hAnsi="DejaVu Sans"/>
                <w:b w:val="0"/>
                <w:i w:val="0"/>
                <w:color w:val="000000"/>
                <w:sz w:val="18"/>
              </w:rPr>
              <w:br/>
            </w:r>
            <w:r>
              <w:rPr>
                <w:rFonts w:ascii="DejaVu Sans" w:hAnsi="DejaVu Sans"/>
                <w:b w:val="0"/>
                <w:i w:val="0"/>
                <w:color w:val="000000"/>
                <w:sz w:val="18"/>
              </w:rPr>
              <w:t>Durable financial events; no live non-cash charge.</w:t>
            </w:r>
          </w:p>
        </w:tc>
        <w:tc>
          <w:tcPr>
            <w:tcW w:type="dxa" w:w="3485"/>
            <w:vAlign w:val="center"/>
            <w:shd w:fill="F1F5F9"/>
          </w:tcPr>
          <w:p>
            <w:pPr>
              <w:keepNext w:val="0"/>
              <w:spacing w:after="20" w:before="20" w:line="259" w:lineRule="auto"/>
            </w:pPr>
            <w:r>
              <w:rPr>
                <w:rFonts w:ascii="DejaVu Sans" w:hAnsi="DejaVu Sans"/>
                <w:b w:val="0"/>
                <w:i w:val="0"/>
                <w:color w:val="000000"/>
                <w:sz w:val="18"/>
              </w:rPr>
              <w:t>BR-27–29, BR-44, NFR-07–08</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HLD-13</w:t>
            </w:r>
          </w:p>
        </w:tc>
        <w:tc>
          <w:tcPr>
            <w:tcW w:type="dxa" w:w="5616"/>
            <w:vAlign w:val="center"/>
            <w:shd w:fill="FFFFFF"/>
          </w:tcPr>
          <w:p>
            <w:pPr>
              <w:keepNext w:val="0"/>
              <w:spacing w:after="20" w:before="20" w:line="259" w:lineRule="auto"/>
            </w:pPr>
            <w:r>
              <w:rPr>
                <w:rFonts w:ascii="DejaVu Sans" w:hAnsi="DejaVu Sans"/>
                <w:b w:val="0"/>
                <w:i w:val="0"/>
                <w:color w:val="000000"/>
                <w:sz w:val="18"/>
              </w:rPr>
              <w:t>Maps/routing adapter: geocoding, map display data, shortlist road ETA, route and navigation handoff.</w:t>
            </w:r>
            <w:r>
              <w:rPr>
                <w:rFonts w:ascii="DejaVu Sans" w:hAnsi="DejaVu Sans"/>
                <w:b w:val="0"/>
                <w:i w:val="0"/>
                <w:color w:val="000000"/>
                <w:sz w:val="18"/>
              </w:rPr>
              <w:br/>
            </w:r>
            <w:r>
              <w:rPr>
                <w:rFonts w:ascii="DejaVu Sans" w:hAnsi="DejaVu Sans"/>
                <w:b w:val="0"/>
                <w:i w:val="0"/>
                <w:color w:val="000000"/>
                <w:sz w:val="18"/>
              </w:rPr>
              <w:t>Provider calls and caching policy, not ride assignment.</w:t>
            </w:r>
          </w:p>
        </w:tc>
        <w:tc>
          <w:tcPr>
            <w:tcW w:type="dxa" w:w="3485"/>
            <w:vAlign w:val="center"/>
            <w:shd w:fill="FFFFFF"/>
          </w:tcPr>
          <w:p>
            <w:pPr>
              <w:keepNext w:val="0"/>
              <w:spacing w:after="20" w:before="20" w:line="259" w:lineRule="auto"/>
            </w:pPr>
            <w:r>
              <w:rPr>
                <w:rFonts w:ascii="DejaVu Sans" w:hAnsi="DejaVu Sans"/>
                <w:b w:val="0"/>
                <w:i w:val="0"/>
                <w:color w:val="000000"/>
                <w:sz w:val="18"/>
              </w:rPr>
              <w:t>BR-09–11, BR-21, BR-46, NFR-01, NFR-03</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HLD-14</w:t>
            </w:r>
          </w:p>
        </w:tc>
        <w:tc>
          <w:tcPr>
            <w:tcW w:type="dxa" w:w="5616"/>
            <w:vAlign w:val="center"/>
            <w:shd w:fill="F1F5F9"/>
          </w:tcPr>
          <w:p>
            <w:pPr>
              <w:keepNext w:val="0"/>
              <w:spacing w:after="20" w:before="20" w:line="259" w:lineRule="auto"/>
            </w:pPr>
            <w:r>
              <w:rPr>
                <w:rFonts w:ascii="DejaVu Sans" w:hAnsi="DejaVu Sans"/>
                <w:b w:val="0"/>
                <w:i w:val="0"/>
                <w:color w:val="000000"/>
                <w:sz w:val="18"/>
              </w:rPr>
              <w:t>Realtime and notification delivery: trip event fan-out, WebSocket sessions, APNs/FCM push, reconnect snapshot.</w:t>
            </w:r>
            <w:r>
              <w:rPr>
                <w:rFonts w:ascii="DejaVu Sans" w:hAnsi="DejaVu Sans"/>
                <w:b w:val="0"/>
                <w:i w:val="0"/>
                <w:color w:val="000000"/>
                <w:sz w:val="18"/>
              </w:rPr>
              <w:br/>
            </w:r>
            <w:r>
              <w:rPr>
                <w:rFonts w:ascii="DejaVu Sans" w:hAnsi="DejaVu Sans"/>
                <w:b w:val="0"/>
                <w:i w:val="0"/>
                <w:color w:val="000000"/>
                <w:sz w:val="18"/>
              </w:rPr>
              <w:t>Delivery attempts and outbox processing; never authoritative acceptance.</w:t>
            </w:r>
          </w:p>
        </w:tc>
        <w:tc>
          <w:tcPr>
            <w:tcW w:type="dxa" w:w="3485"/>
            <w:vAlign w:val="center"/>
            <w:shd w:fill="F1F5F9"/>
          </w:tcPr>
          <w:p>
            <w:pPr>
              <w:keepNext w:val="0"/>
              <w:spacing w:after="20" w:before="20" w:line="259" w:lineRule="auto"/>
            </w:pPr>
            <w:r>
              <w:rPr>
                <w:rFonts w:ascii="DejaVu Sans" w:hAnsi="DejaVu Sans"/>
                <w:b w:val="0"/>
                <w:i w:val="0"/>
                <w:color w:val="000000"/>
                <w:sz w:val="18"/>
              </w:rPr>
              <w:t>BR-12–13, BR-19–22, BR-31–36, NFR-02, NFR-07, NFR-12</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HLD-15</w:t>
            </w:r>
          </w:p>
        </w:tc>
        <w:tc>
          <w:tcPr>
            <w:tcW w:type="dxa" w:w="5616"/>
            <w:vAlign w:val="center"/>
            <w:shd w:fill="FFFFFF"/>
          </w:tcPr>
          <w:p>
            <w:pPr>
              <w:keepNext w:val="0"/>
              <w:spacing w:after="20" w:before="20" w:line="259" w:lineRule="auto"/>
            </w:pPr>
            <w:r>
              <w:rPr>
                <w:rFonts w:ascii="DejaVu Sans" w:hAnsi="DejaVu Sans"/>
                <w:b w:val="0"/>
                <w:i w:val="0"/>
                <w:color w:val="000000"/>
                <w:sz w:val="18"/>
              </w:rPr>
              <w:t>Chat/translation/contact: trip-scoped original messages, translations, telephone action after confirmation.</w:t>
            </w:r>
            <w:r>
              <w:rPr>
                <w:rFonts w:ascii="DejaVu Sans" w:hAnsi="DejaVu Sans"/>
                <w:b w:val="0"/>
                <w:i w:val="0"/>
                <w:color w:val="000000"/>
                <w:sz w:val="18"/>
              </w:rPr>
              <w:br/>
            </w:r>
            <w:r>
              <w:rPr>
                <w:rFonts w:ascii="DejaVu Sans" w:hAnsi="DejaVu Sans"/>
                <w:b w:val="0"/>
                <w:i w:val="0"/>
                <w:color w:val="000000"/>
                <w:sz w:val="18"/>
              </w:rPr>
              <w:t>Durable chat and approved contact policy.</w:t>
            </w:r>
          </w:p>
        </w:tc>
        <w:tc>
          <w:tcPr>
            <w:tcW w:type="dxa" w:w="3485"/>
            <w:vAlign w:val="center"/>
            <w:shd w:fill="FFFFFF"/>
          </w:tcPr>
          <w:p>
            <w:pPr>
              <w:keepNext w:val="0"/>
              <w:spacing w:after="20" w:before="20" w:line="259" w:lineRule="auto"/>
            </w:pPr>
            <w:r>
              <w:rPr>
                <w:rFonts w:ascii="DejaVu Sans" w:hAnsi="DejaVu Sans"/>
                <w:b w:val="0"/>
                <w:i w:val="0"/>
                <w:color w:val="000000"/>
                <w:sz w:val="18"/>
              </w:rPr>
              <w:t>BR-30–32, NFR-04–05</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HLD-16</w:t>
            </w:r>
          </w:p>
        </w:tc>
        <w:tc>
          <w:tcPr>
            <w:tcW w:type="dxa" w:w="5616"/>
            <w:vAlign w:val="center"/>
            <w:shd w:fill="F1F5F9"/>
          </w:tcPr>
          <w:p>
            <w:pPr>
              <w:keepNext w:val="0"/>
              <w:spacing w:after="20" w:before="20" w:line="259" w:lineRule="auto"/>
            </w:pPr>
            <w:r>
              <w:rPr>
                <w:rFonts w:ascii="DejaVu Sans" w:hAnsi="DejaVu Sans"/>
                <w:b w:val="0"/>
                <w:i w:val="0"/>
                <w:color w:val="000000"/>
                <w:sz w:val="18"/>
              </w:rPr>
              <w:t>Support/case management: trip-linked cases, lost property, mess/damage evidence, staff workflow and outcome.</w:t>
            </w:r>
            <w:r>
              <w:rPr>
                <w:rFonts w:ascii="DejaVu Sans" w:hAnsi="DejaVu Sans"/>
                <w:b w:val="0"/>
                <w:i w:val="0"/>
                <w:color w:val="000000"/>
                <w:sz w:val="18"/>
              </w:rPr>
              <w:br/>
            </w:r>
            <w:r>
              <w:rPr>
                <w:rFonts w:ascii="DejaVu Sans" w:hAnsi="DejaVu Sans"/>
                <w:b w:val="0"/>
                <w:i w:val="0"/>
                <w:color w:val="000000"/>
                <w:sz w:val="18"/>
              </w:rPr>
              <w:t>Case history and restricted evidence references.</w:t>
            </w:r>
          </w:p>
        </w:tc>
        <w:tc>
          <w:tcPr>
            <w:tcW w:type="dxa" w:w="3485"/>
            <w:vAlign w:val="center"/>
            <w:shd w:fill="F1F5F9"/>
          </w:tcPr>
          <w:p>
            <w:pPr>
              <w:keepNext w:val="0"/>
              <w:spacing w:after="20" w:before="20" w:line="259" w:lineRule="auto"/>
            </w:pPr>
            <w:r>
              <w:rPr>
                <w:rFonts w:ascii="DejaVu Sans" w:hAnsi="DejaVu Sans"/>
                <w:b w:val="0"/>
                <w:i w:val="0"/>
                <w:color w:val="000000"/>
                <w:sz w:val="18"/>
              </w:rPr>
              <w:t>BR-33, BR-40, BR-43, BR-47–49, NFR-04–05, NFR-07</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HLD-17</w:t>
            </w:r>
          </w:p>
        </w:tc>
        <w:tc>
          <w:tcPr>
            <w:tcW w:type="dxa" w:w="5616"/>
            <w:vAlign w:val="center"/>
            <w:shd w:fill="FFFFFF"/>
          </w:tcPr>
          <w:p>
            <w:pPr>
              <w:keepNext w:val="0"/>
              <w:spacing w:after="20" w:before="20" w:line="259" w:lineRule="auto"/>
            </w:pPr>
            <w:r>
              <w:rPr>
                <w:rFonts w:ascii="DejaVu Sans" w:hAnsi="DejaVu Sans"/>
                <w:b w:val="0"/>
                <w:i w:val="0"/>
                <w:color w:val="000000"/>
                <w:sz w:val="18"/>
              </w:rPr>
              <w:t>SOS policy/incident module: publish approved choices, initiate selected action, log status/escalation.</w:t>
            </w:r>
            <w:r>
              <w:rPr>
                <w:rFonts w:ascii="DejaVu Sans" w:hAnsi="DejaVu Sans"/>
                <w:b w:val="0"/>
                <w:i w:val="0"/>
                <w:color w:val="000000"/>
                <w:sz w:val="18"/>
              </w:rPr>
              <w:br/>
            </w:r>
            <w:r>
              <w:rPr>
                <w:rFonts w:ascii="DejaVu Sans" w:hAnsi="DejaVu Sans"/>
                <w:b w:val="0"/>
                <w:i w:val="0"/>
                <w:color w:val="000000"/>
                <w:sz w:val="18"/>
              </w:rPr>
              <w:t>Versioned action registry and incident trail.</w:t>
            </w:r>
          </w:p>
        </w:tc>
        <w:tc>
          <w:tcPr>
            <w:tcW w:type="dxa" w:w="3485"/>
            <w:vAlign w:val="center"/>
            <w:shd w:fill="FFFFFF"/>
          </w:tcPr>
          <w:p>
            <w:pPr>
              <w:keepNext w:val="0"/>
              <w:spacing w:after="20" w:before="20" w:line="259" w:lineRule="auto"/>
            </w:pPr>
            <w:r>
              <w:rPr>
                <w:rFonts w:ascii="DejaVu Sans" w:hAnsi="DejaVu Sans"/>
                <w:b w:val="0"/>
                <w:i w:val="0"/>
                <w:color w:val="000000"/>
                <w:sz w:val="18"/>
              </w:rPr>
              <w:t>BR-34–37, BR-41–44, NFR-04, NFR-07, NFR-09</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HLD-18</w:t>
            </w:r>
          </w:p>
        </w:tc>
        <w:tc>
          <w:tcPr>
            <w:tcW w:type="dxa" w:w="5616"/>
            <w:vAlign w:val="center"/>
            <w:shd w:fill="F1F5F9"/>
          </w:tcPr>
          <w:p>
            <w:pPr>
              <w:keepNext w:val="0"/>
              <w:spacing w:after="20" w:before="20" w:line="259" w:lineRule="auto"/>
            </w:pPr>
            <w:r>
              <w:rPr>
                <w:rFonts w:ascii="DejaVu Sans" w:hAnsi="DejaVu Sans"/>
                <w:b w:val="0"/>
                <w:i w:val="0"/>
                <w:color w:val="000000"/>
                <w:sz w:val="18"/>
              </w:rPr>
              <w:t>Reciprocal review module: one review per author/direction/completed trip, staff dispute handling.</w:t>
            </w:r>
            <w:r>
              <w:rPr>
                <w:rFonts w:ascii="DejaVu Sans" w:hAnsi="DejaVu Sans"/>
                <w:b w:val="0"/>
                <w:i w:val="0"/>
                <w:color w:val="000000"/>
                <w:sz w:val="18"/>
              </w:rPr>
              <w:br/>
            </w:r>
            <w:r>
              <w:rPr>
                <w:rFonts w:ascii="DejaVu Sans" w:hAnsi="DejaVu Sans"/>
                <w:b w:val="0"/>
                <w:i w:val="0"/>
                <w:color w:val="000000"/>
                <w:sz w:val="18"/>
              </w:rPr>
              <w:t>Review and moderation records.</w:t>
            </w:r>
          </w:p>
        </w:tc>
        <w:tc>
          <w:tcPr>
            <w:tcW w:type="dxa" w:w="3485"/>
            <w:vAlign w:val="center"/>
            <w:shd w:fill="F1F5F9"/>
          </w:tcPr>
          <w:p>
            <w:pPr>
              <w:keepNext w:val="0"/>
              <w:spacing w:after="20" w:before="20" w:line="259" w:lineRule="auto"/>
            </w:pPr>
            <w:r>
              <w:rPr>
                <w:rFonts w:ascii="DejaVu Sans" w:hAnsi="DejaVu Sans"/>
                <w:b w:val="0"/>
                <w:i w:val="0"/>
                <w:color w:val="000000"/>
                <w:sz w:val="18"/>
              </w:rPr>
              <w:t>BR-38–40, BR-43, NFR-04</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HLD-19</w:t>
            </w:r>
          </w:p>
        </w:tc>
        <w:tc>
          <w:tcPr>
            <w:tcW w:type="dxa" w:w="5616"/>
            <w:vAlign w:val="center"/>
            <w:shd w:fill="FFFFFF"/>
          </w:tcPr>
          <w:p>
            <w:pPr>
              <w:keepNext w:val="0"/>
              <w:spacing w:after="20" w:before="20" w:line="259" w:lineRule="auto"/>
            </w:pPr>
            <w:r>
              <w:rPr>
                <w:rFonts w:ascii="DejaVu Sans" w:hAnsi="DejaVu Sans"/>
                <w:b w:val="0"/>
                <w:i w:val="0"/>
                <w:color w:val="000000"/>
                <w:sz w:val="18"/>
              </w:rPr>
              <w:t>PostgreSQL/PostGIS data service: transactional records, geofences, integrity constraints, backups.</w:t>
            </w:r>
            <w:r>
              <w:rPr>
                <w:rFonts w:ascii="DejaVu Sans" w:hAnsi="DejaVu Sans"/>
                <w:b w:val="0"/>
                <w:i w:val="0"/>
                <w:color w:val="000000"/>
                <w:sz w:val="18"/>
              </w:rPr>
              <w:br/>
            </w:r>
            <w:r>
              <w:rPr>
                <w:rFonts w:ascii="DejaVu Sans" w:hAnsi="DejaVu Sans"/>
                <w:b w:val="0"/>
                <w:i w:val="0"/>
                <w:color w:val="000000"/>
                <w:sz w:val="18"/>
              </w:rPr>
              <w:t>Source-of-truth persisted data.</w:t>
            </w:r>
          </w:p>
        </w:tc>
        <w:tc>
          <w:tcPr>
            <w:tcW w:type="dxa" w:w="3485"/>
            <w:vAlign w:val="center"/>
            <w:shd w:fill="FFFFFF"/>
          </w:tcPr>
          <w:p>
            <w:pPr>
              <w:keepNext w:val="0"/>
              <w:spacing w:after="20" w:before="20" w:line="259" w:lineRule="auto"/>
            </w:pPr>
            <w:r>
              <w:rPr>
                <w:rFonts w:ascii="DejaVu Sans" w:hAnsi="DejaVu Sans"/>
                <w:b w:val="0"/>
                <w:i w:val="0"/>
                <w:color w:val="000000"/>
                <w:sz w:val="18"/>
              </w:rPr>
              <w:t>BR-05–49, NFR-04–05, NFR-08–09</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HLD-20</w:t>
            </w:r>
          </w:p>
        </w:tc>
        <w:tc>
          <w:tcPr>
            <w:tcW w:type="dxa" w:w="5616"/>
            <w:vAlign w:val="center"/>
            <w:shd w:fill="F1F5F9"/>
          </w:tcPr>
          <w:p>
            <w:pPr>
              <w:keepNext w:val="0"/>
              <w:spacing w:after="20" w:before="20" w:line="259" w:lineRule="auto"/>
            </w:pPr>
            <w:r>
              <w:rPr>
                <w:rFonts w:ascii="DejaVu Sans" w:hAnsi="DejaVu Sans"/>
                <w:b w:val="0"/>
                <w:i w:val="0"/>
                <w:color w:val="000000"/>
                <w:sz w:val="18"/>
              </w:rPr>
              <w:t>Managed Redis: candidate geolocation and presence, distributed WebSocket fan-out where needed, caches.</w:t>
            </w:r>
            <w:r>
              <w:rPr>
                <w:rFonts w:ascii="DejaVu Sans" w:hAnsi="DejaVu Sans"/>
                <w:b w:val="0"/>
                <w:i w:val="0"/>
                <w:color w:val="000000"/>
                <w:sz w:val="18"/>
              </w:rPr>
              <w:br/>
            </w:r>
            <w:r>
              <w:rPr>
                <w:rFonts w:ascii="DejaVu Sans" w:hAnsi="DejaVu Sans"/>
                <w:b w:val="0"/>
                <w:i w:val="0"/>
                <w:color w:val="000000"/>
                <w:sz w:val="18"/>
              </w:rPr>
              <w:t>Rebuildable ephemeral data only.</w:t>
            </w:r>
          </w:p>
        </w:tc>
        <w:tc>
          <w:tcPr>
            <w:tcW w:type="dxa" w:w="3485"/>
            <w:vAlign w:val="center"/>
            <w:shd w:fill="F1F5F9"/>
          </w:tcPr>
          <w:p>
            <w:pPr>
              <w:keepNext w:val="0"/>
              <w:spacing w:after="20" w:before="20" w:line="259" w:lineRule="auto"/>
            </w:pPr>
            <w:r>
              <w:rPr>
                <w:rFonts w:ascii="DejaVu Sans" w:hAnsi="DejaVu Sans"/>
                <w:b w:val="0"/>
                <w:i w:val="0"/>
                <w:color w:val="000000"/>
                <w:sz w:val="18"/>
              </w:rPr>
              <w:t>BR-07–13, BR-21–22, NFR-01–03</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HLD-21</w:t>
            </w:r>
          </w:p>
        </w:tc>
        <w:tc>
          <w:tcPr>
            <w:tcW w:type="dxa" w:w="5616"/>
            <w:vAlign w:val="center"/>
            <w:shd w:fill="FFFFFF"/>
          </w:tcPr>
          <w:p>
            <w:pPr>
              <w:keepNext w:val="0"/>
              <w:spacing w:after="20" w:before="20" w:line="259" w:lineRule="auto"/>
            </w:pPr>
            <w:r>
              <w:rPr>
                <w:rFonts w:ascii="DejaVu Sans" w:hAnsi="DejaVu Sans"/>
                <w:b w:val="0"/>
                <w:i w:val="0"/>
                <w:color w:val="000000"/>
                <w:sz w:val="18"/>
              </w:rPr>
              <w:t>Private object storage: driver documents and case attachments, short-lived upload/download authorization.</w:t>
            </w:r>
            <w:r>
              <w:rPr>
                <w:rFonts w:ascii="DejaVu Sans" w:hAnsi="DejaVu Sans"/>
                <w:b w:val="0"/>
                <w:i w:val="0"/>
                <w:color w:val="000000"/>
                <w:sz w:val="18"/>
              </w:rPr>
              <w:br/>
            </w:r>
            <w:r>
              <w:rPr>
                <w:rFonts w:ascii="DejaVu Sans" w:hAnsi="DejaVu Sans"/>
                <w:b w:val="0"/>
                <w:i w:val="0"/>
                <w:color w:val="000000"/>
                <w:sz w:val="18"/>
              </w:rPr>
              <w:t>Encrypted objects with database ownership metadata.</w:t>
            </w:r>
          </w:p>
        </w:tc>
        <w:tc>
          <w:tcPr>
            <w:tcW w:type="dxa" w:w="3485"/>
            <w:vAlign w:val="center"/>
            <w:shd w:fill="FFFFFF"/>
          </w:tcPr>
          <w:p>
            <w:pPr>
              <w:keepNext w:val="0"/>
              <w:spacing w:after="20" w:before="20" w:line="259" w:lineRule="auto"/>
            </w:pPr>
            <w:r>
              <w:rPr>
                <w:rFonts w:ascii="DejaVu Sans" w:hAnsi="DejaVu Sans"/>
                <w:b w:val="0"/>
                <w:i w:val="0"/>
                <w:color w:val="000000"/>
                <w:sz w:val="18"/>
              </w:rPr>
              <w:t>BR-05–06, BR-47–49, NFR-04–05</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HLD-22</w:t>
            </w:r>
          </w:p>
        </w:tc>
        <w:tc>
          <w:tcPr>
            <w:tcW w:type="dxa" w:w="5616"/>
            <w:vAlign w:val="center"/>
            <w:shd w:fill="F1F5F9"/>
          </w:tcPr>
          <w:p>
            <w:pPr>
              <w:keepNext w:val="0"/>
              <w:spacing w:after="20" w:before="20" w:line="259" w:lineRule="auto"/>
            </w:pPr>
            <w:r>
              <w:rPr>
                <w:rFonts w:ascii="DejaVu Sans" w:hAnsi="DejaVu Sans"/>
                <w:b w:val="0"/>
                <w:i w:val="0"/>
                <w:color w:val="000000"/>
                <w:sz w:val="18"/>
              </w:rPr>
              <w:t>Durable outbox and worker: offer expiry/recovery, reliable notification jobs, translation and evidence processing.</w:t>
            </w:r>
            <w:r>
              <w:rPr>
                <w:rFonts w:ascii="DejaVu Sans" w:hAnsi="DejaVu Sans"/>
                <w:b w:val="0"/>
                <w:i w:val="0"/>
                <w:color w:val="000000"/>
                <w:sz w:val="18"/>
              </w:rPr>
              <w:br/>
            </w:r>
            <w:r>
              <w:rPr>
                <w:rFonts w:ascii="DejaVu Sans" w:hAnsi="DejaVu Sans"/>
                <w:b w:val="0"/>
                <w:i w:val="0"/>
                <w:color w:val="000000"/>
                <w:sz w:val="18"/>
              </w:rPr>
              <w:t>Transactionally enqueued work with retry/idempotency.</w:t>
            </w:r>
          </w:p>
        </w:tc>
        <w:tc>
          <w:tcPr>
            <w:tcW w:type="dxa" w:w="3485"/>
            <w:vAlign w:val="center"/>
            <w:shd w:fill="F1F5F9"/>
          </w:tcPr>
          <w:p>
            <w:pPr>
              <w:keepNext w:val="0"/>
              <w:spacing w:after="20" w:before="20" w:line="259" w:lineRule="auto"/>
            </w:pPr>
            <w:r>
              <w:rPr>
                <w:rFonts w:ascii="DejaVu Sans" w:hAnsi="DejaVu Sans"/>
                <w:b w:val="0"/>
                <w:i w:val="0"/>
                <w:color w:val="000000"/>
                <w:sz w:val="18"/>
              </w:rPr>
              <w:t>BR-12–13, BR-18–22, BR-32–37, BR-47–49, NFR-02, NFR-07</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HLD-23</w:t>
            </w:r>
          </w:p>
        </w:tc>
        <w:tc>
          <w:tcPr>
            <w:tcW w:type="dxa" w:w="5616"/>
            <w:vAlign w:val="center"/>
            <w:shd w:fill="FFFFFF"/>
          </w:tcPr>
          <w:p>
            <w:pPr>
              <w:keepNext w:val="0"/>
              <w:spacing w:after="20" w:before="20" w:line="259" w:lineRule="auto"/>
            </w:pPr>
            <w:r>
              <w:rPr>
                <w:rFonts w:ascii="DejaVu Sans" w:hAnsi="DejaVu Sans"/>
                <w:b w:val="0"/>
                <w:i w:val="0"/>
                <w:color w:val="000000"/>
                <w:sz w:val="18"/>
              </w:rPr>
              <w:t>Security, audit and observability: administrative audit, metrics, traces, alerts, incident investigation.</w:t>
            </w:r>
            <w:r>
              <w:rPr>
                <w:rFonts w:ascii="DejaVu Sans" w:hAnsi="DejaVu Sans"/>
                <w:b w:val="0"/>
                <w:i w:val="0"/>
                <w:color w:val="000000"/>
                <w:sz w:val="18"/>
              </w:rPr>
              <w:br/>
            </w:r>
            <w:r>
              <w:rPr>
                <w:rFonts w:ascii="DejaVu Sans" w:hAnsi="DejaVu Sans"/>
                <w:b w:val="0"/>
                <w:i w:val="0"/>
                <w:color w:val="000000"/>
                <w:sz w:val="18"/>
              </w:rPr>
              <w:t>Access controls, security telemetry and operational evidence.</w:t>
            </w:r>
          </w:p>
        </w:tc>
        <w:tc>
          <w:tcPr>
            <w:tcW w:type="dxa" w:w="3485"/>
            <w:vAlign w:val="center"/>
            <w:shd w:fill="FFFFFF"/>
          </w:tcPr>
          <w:p>
            <w:pPr>
              <w:keepNext w:val="0"/>
              <w:spacing w:after="20" w:before="20" w:line="259" w:lineRule="auto"/>
            </w:pPr>
            <w:r>
              <w:rPr>
                <w:rFonts w:ascii="DejaVu Sans" w:hAnsi="DejaVu Sans"/>
                <w:b w:val="0"/>
                <w:i w:val="0"/>
                <w:color w:val="000000"/>
                <w:sz w:val="18"/>
              </w:rPr>
              <w:t>BR-06, BR-36, BR-40–44, BR-49, NFR-01, NFR-04–10, NFR-12</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HLD-24</w:t>
            </w:r>
          </w:p>
        </w:tc>
        <w:tc>
          <w:tcPr>
            <w:tcW w:type="dxa" w:w="5616"/>
            <w:vAlign w:val="center"/>
            <w:shd w:fill="F1F5F9"/>
          </w:tcPr>
          <w:p>
            <w:pPr>
              <w:keepNext w:val="0"/>
              <w:spacing w:after="20" w:before="20" w:line="259" w:lineRule="auto"/>
            </w:pPr>
            <w:r>
              <w:rPr>
                <w:rFonts w:ascii="DejaVu Sans" w:hAnsi="DejaVu Sans"/>
                <w:b w:val="0"/>
                <w:i w:val="0"/>
                <w:color w:val="000000"/>
                <w:sz w:val="18"/>
              </w:rPr>
              <w:t>Hosting/delivery platform: load-balanced app and worker instances, managed data services, secrets, backups, release pipeline.</w:t>
            </w:r>
            <w:r>
              <w:rPr>
                <w:rFonts w:ascii="DejaVu Sans" w:hAnsi="DejaVu Sans"/>
                <w:b w:val="0"/>
                <w:i w:val="0"/>
                <w:color w:val="000000"/>
                <w:sz w:val="18"/>
              </w:rPr>
              <w:br/>
            </w:r>
            <w:r>
              <w:rPr>
                <w:rFonts w:ascii="DejaVu Sans" w:hAnsi="DejaVu Sans"/>
                <w:b w:val="0"/>
                <w:i w:val="0"/>
                <w:color w:val="000000"/>
                <w:sz w:val="18"/>
              </w:rPr>
              <w:t>Runtime availability and recovery processes.</w:t>
            </w:r>
          </w:p>
        </w:tc>
        <w:tc>
          <w:tcPr>
            <w:tcW w:type="dxa" w:w="3485"/>
            <w:vAlign w:val="center"/>
            <w:shd w:fill="F1F5F9"/>
          </w:tcPr>
          <w:p>
            <w:pPr>
              <w:keepNext w:val="0"/>
              <w:spacing w:after="20" w:before="20" w:line="259" w:lineRule="auto"/>
            </w:pPr>
            <w:r>
              <w:rPr>
                <w:rFonts w:ascii="DejaVu Sans" w:hAnsi="DejaVu Sans"/>
                <w:b w:val="0"/>
                <w:i w:val="0"/>
                <w:color w:val="000000"/>
                <w:sz w:val="18"/>
              </w:rPr>
              <w:t>NFR-01–02, NFR-05, NFR-07–10</w:t>
            </w:r>
          </w:p>
        </w:tc>
      </w:tr>
    </w:tbl>
    <w:p>
      <w:pPr>
        <w:spacing w:after="40"/>
      </w:pPr>
    </w:p>
    <w:p>
      <w:bookmarkStart w:id="1064" w:name="HLD_3"/>
      <w:pPr>
        <w:pStyle w:val="Heading1"/>
      </w:pPr>
      <w:r>
        <w:t>3 Data ownership and trust boundaries</w:t>
      </w:r>
      <w:bookmarkEnd w:id="1064"/>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16"/>
        <w:gridCol w:w="3312"/>
        <w:gridCol w:w="4896"/>
      </w:tblGrid>
      <w:tr>
        <w:trPr>
          <w:cantSplit/>
          <w:tblHeader/>
        </w:trPr>
        <w:tc>
          <w:tcPr>
            <w:tcW w:type="dxa" w:w="2016"/>
            <w:vAlign w:val="center"/>
            <w:shd w:fill="173A5E"/>
          </w:tcPr>
          <w:p>
            <w:pPr>
              <w:keepNext w:val="0"/>
              <w:spacing w:after="20" w:before="20" w:line="259" w:lineRule="auto"/>
            </w:pPr>
            <w:r>
              <w:rPr>
                <w:rFonts w:ascii="DejaVu Sans" w:hAnsi="DejaVu Sans"/>
                <w:b/>
                <w:i w:val="0"/>
                <w:color w:val="FFFFFF"/>
                <w:sz w:val="18"/>
              </w:rPr>
              <w:t>Data class</w:t>
            </w:r>
          </w:p>
        </w:tc>
        <w:tc>
          <w:tcPr>
            <w:tcW w:type="dxa" w:w="3312"/>
            <w:vAlign w:val="center"/>
            <w:shd w:fill="173A5E"/>
          </w:tcPr>
          <w:p>
            <w:pPr>
              <w:keepNext w:val="0"/>
              <w:spacing w:after="20" w:before="20" w:line="259" w:lineRule="auto"/>
            </w:pPr>
            <w:r>
              <w:rPr>
                <w:rFonts w:ascii="DejaVu Sans" w:hAnsi="DejaVu Sans"/>
                <w:b/>
                <w:i w:val="0"/>
                <w:color w:val="FFFFFF"/>
                <w:sz w:val="18"/>
              </w:rPr>
              <w:t>Authoritative store</w:t>
            </w:r>
          </w:p>
        </w:tc>
        <w:tc>
          <w:tcPr>
            <w:tcW w:type="dxa" w:w="4896"/>
            <w:vAlign w:val="center"/>
            <w:shd w:fill="173A5E"/>
          </w:tcPr>
          <w:p>
            <w:pPr>
              <w:keepNext w:val="0"/>
              <w:spacing w:after="20" w:before="20" w:line="259" w:lineRule="auto"/>
            </w:pPr>
            <w:r>
              <w:rPr>
                <w:rFonts w:ascii="DejaVu Sans" w:hAnsi="DejaVu Sans"/>
                <w:b/>
                <w:i w:val="0"/>
                <w:color w:val="FFFFFF"/>
                <w:sz w:val="18"/>
              </w:rPr>
              <w:t>Consumers and rules</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Identities, eligibility, vehicles, document review</w:t>
            </w:r>
          </w:p>
        </w:tc>
        <w:tc>
          <w:tcPr>
            <w:tcW w:type="dxa" w:w="3312"/>
            <w:vAlign w:val="center"/>
            <w:shd w:fill="FFFFFF"/>
          </w:tcPr>
          <w:p>
            <w:pPr>
              <w:keepNext w:val="0"/>
              <w:spacing w:after="20" w:before="20" w:line="259" w:lineRule="auto"/>
            </w:pPr>
            <w:r>
              <w:rPr>
                <w:rFonts w:ascii="DejaVu Sans" w:hAnsi="DejaVu Sans"/>
                <w:b w:val="0"/>
                <w:i w:val="0"/>
                <w:color w:val="000000"/>
                <w:sz w:val="18"/>
              </w:rPr>
              <w:t>PostgreSQL; file bytes in private object storage</w:t>
            </w:r>
          </w:p>
        </w:tc>
        <w:tc>
          <w:tcPr>
            <w:tcW w:type="dxa" w:w="4896"/>
            <w:vAlign w:val="center"/>
            <w:shd w:fill="FFFFFF"/>
          </w:tcPr>
          <w:p>
            <w:pPr>
              <w:keepNext w:val="0"/>
              <w:spacing w:after="20" w:before="20" w:line="259" w:lineRule="auto"/>
            </w:pPr>
            <w:r>
              <w:rPr>
                <w:rFonts w:ascii="DejaVu Sans" w:hAnsi="DejaVu Sans"/>
                <w:b w:val="0"/>
                <w:i w:val="0"/>
                <w:color w:val="000000"/>
                <w:sz w:val="18"/>
              </w:rPr>
              <w:t>Rider/driver self access as appropriate, reviewers by role; approval rechecked before offers.</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Service zones and categories</w:t>
            </w:r>
          </w:p>
        </w:tc>
        <w:tc>
          <w:tcPr>
            <w:tcW w:type="dxa" w:w="3312"/>
            <w:vAlign w:val="center"/>
            <w:shd w:fill="F1F5F9"/>
          </w:tcPr>
          <w:p>
            <w:pPr>
              <w:keepNext w:val="0"/>
              <w:spacing w:after="20" w:before="20" w:line="259" w:lineRule="auto"/>
            </w:pPr>
            <w:r>
              <w:rPr>
                <w:rFonts w:ascii="DejaVu Sans" w:hAnsi="DejaVu Sans"/>
                <w:b w:val="0"/>
                <w:i w:val="0"/>
                <w:color w:val="000000"/>
                <w:sz w:val="18"/>
              </w:rPr>
              <w:t>Versioned PostGIS geometries and metadata in PostgreSQL</w:t>
            </w:r>
          </w:p>
        </w:tc>
        <w:tc>
          <w:tcPr>
            <w:tcW w:type="dxa" w:w="4896"/>
            <w:vAlign w:val="center"/>
            <w:shd w:fill="F1F5F9"/>
          </w:tcPr>
          <w:p>
            <w:pPr>
              <w:keepNext w:val="0"/>
              <w:spacing w:after="20" w:before="20" w:line="259" w:lineRule="auto"/>
            </w:pPr>
            <w:r>
              <w:rPr>
                <w:rFonts w:ascii="DejaVu Sans" w:hAnsi="DejaVu Sans"/>
                <w:b w:val="0"/>
                <w:i w:val="0"/>
                <w:color w:val="000000"/>
                <w:sz w:val="18"/>
              </w:rPr>
              <w:t>Admin publishes; booking validates pickup, destination, vehicle type against currently active policy. Exact area boundaries remain TBD.</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Saved places</w:t>
            </w:r>
          </w:p>
        </w:tc>
        <w:tc>
          <w:tcPr>
            <w:tcW w:type="dxa" w:w="3312"/>
            <w:vAlign w:val="center"/>
            <w:shd w:fill="FFFFFF"/>
          </w:tcPr>
          <w:p>
            <w:pPr>
              <w:keepNext w:val="0"/>
              <w:spacing w:after="20" w:before="20" w:line="259" w:lineRule="auto"/>
            </w:pPr>
            <w:r>
              <w:rPr>
                <w:rFonts w:ascii="DejaVu Sans" w:hAnsi="DejaVu Sans"/>
                <w:b w:val="0"/>
                <w:i w:val="0"/>
                <w:color w:val="000000"/>
                <w:sz w:val="18"/>
              </w:rPr>
              <w:t>PostgreSQL, scoped to rider identity</w:t>
            </w:r>
          </w:p>
        </w:tc>
        <w:tc>
          <w:tcPr>
            <w:tcW w:type="dxa" w:w="4896"/>
            <w:vAlign w:val="center"/>
            <w:shd w:fill="FFFFFF"/>
          </w:tcPr>
          <w:p>
            <w:pPr>
              <w:keepNext w:val="0"/>
              <w:spacing w:after="20" w:before="20" w:line="259" w:lineRule="auto"/>
            </w:pPr>
            <w:r>
              <w:rPr>
                <w:rFonts w:ascii="DejaVu Sans" w:hAnsi="DejaVu Sans"/>
                <w:b w:val="0"/>
                <w:i w:val="0"/>
                <w:color w:val="000000"/>
                <w:sz w:val="18"/>
              </w:rPr>
              <w:t>Only owner and narrowly authorized support where needed; a trip stores a pickup/destination snapshot, not a mutable pointer to the saved-place label.</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Driver geo/presence</w:t>
            </w:r>
          </w:p>
        </w:tc>
        <w:tc>
          <w:tcPr>
            <w:tcW w:type="dxa" w:w="3312"/>
            <w:vAlign w:val="center"/>
            <w:shd w:fill="F1F5F9"/>
          </w:tcPr>
          <w:p>
            <w:pPr>
              <w:keepNext w:val="0"/>
              <w:spacing w:after="20" w:before="20" w:line="259" w:lineRule="auto"/>
            </w:pPr>
            <w:r>
              <w:rPr>
                <w:rFonts w:ascii="DejaVu Sans" w:hAnsi="DejaVu Sans"/>
                <w:b w:val="0"/>
                <w:i w:val="0"/>
                <w:color w:val="000000"/>
                <w:sz w:val="18"/>
              </w:rPr>
              <w:t>Redis geo index plus independently checked heartbeat timestamp/accuracy</w:t>
            </w:r>
          </w:p>
        </w:tc>
        <w:tc>
          <w:tcPr>
            <w:tcW w:type="dxa" w:w="4896"/>
            <w:vAlign w:val="center"/>
            <w:shd w:fill="F1F5F9"/>
          </w:tcPr>
          <w:p>
            <w:pPr>
              <w:keepNext w:val="0"/>
              <w:spacing w:after="20" w:before="20" w:line="259" w:lineRule="auto"/>
            </w:pPr>
            <w:r>
              <w:rPr>
                <w:rFonts w:ascii="DejaVu Sans" w:hAnsi="DejaVu Sans"/>
                <w:b w:val="0"/>
                <w:i w:val="0"/>
                <w:color w:val="000000"/>
                <w:sz w:val="18"/>
              </w:rPr>
              <w:t>A Redis geo member alone is never evidence of online eligibility; remove or ignore stale entries. Share precise trip location only with authorized participants.</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Ride requests, offers, assignments, trips</w:t>
            </w:r>
          </w:p>
        </w:tc>
        <w:tc>
          <w:tcPr>
            <w:tcW w:type="dxa" w:w="3312"/>
            <w:vAlign w:val="center"/>
            <w:shd w:fill="FFFFFF"/>
          </w:tcPr>
          <w:p>
            <w:pPr>
              <w:keepNext w:val="0"/>
              <w:spacing w:after="20" w:before="20" w:line="259" w:lineRule="auto"/>
            </w:pPr>
            <w:r>
              <w:rPr>
                <w:rFonts w:ascii="DejaVu Sans" w:hAnsi="DejaVu Sans"/>
                <w:b w:val="0"/>
                <w:i w:val="0"/>
                <w:color w:val="000000"/>
                <w:sz w:val="18"/>
              </w:rPr>
              <w:t>PostgreSQL</w:t>
            </w:r>
          </w:p>
        </w:tc>
        <w:tc>
          <w:tcPr>
            <w:tcW w:type="dxa" w:w="4896"/>
            <w:vAlign w:val="center"/>
            <w:shd w:fill="FFFFFF"/>
          </w:tcPr>
          <w:p>
            <w:pPr>
              <w:keepNext w:val="0"/>
              <w:spacing w:after="20" w:before="20" w:line="259" w:lineRule="auto"/>
            </w:pPr>
            <w:r>
              <w:rPr>
                <w:rFonts w:ascii="DejaVu Sans" w:hAnsi="DejaVu Sans"/>
                <w:b w:val="0"/>
                <w:i w:val="0"/>
                <w:color w:val="000000"/>
                <w:sz w:val="18"/>
              </w:rPr>
              <w:t>Transactions and constraints govern the sole active offer and sole confirmed assignment. WebSocket events are derived notifications.</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Fare policies, currency, CMS quotes, cash</w:t>
            </w:r>
          </w:p>
        </w:tc>
        <w:tc>
          <w:tcPr>
            <w:tcW w:type="dxa" w:w="3312"/>
            <w:vAlign w:val="center"/>
            <w:shd w:fill="F1F5F9"/>
          </w:tcPr>
          <w:p>
            <w:pPr>
              <w:keepNext w:val="0"/>
              <w:spacing w:after="20" w:before="20" w:line="259" w:lineRule="auto"/>
            </w:pPr>
            <w:r>
              <w:rPr>
                <w:rFonts w:ascii="DejaVu Sans" w:hAnsi="DejaVu Sans"/>
                <w:b w:val="0"/>
                <w:i w:val="0"/>
                <w:color w:val="000000"/>
                <w:sz w:val="18"/>
              </w:rPr>
              <w:t>PostgreSQL, versioned and immutable snapshots for accepted rides</w:t>
            </w:r>
          </w:p>
        </w:tc>
        <w:tc>
          <w:tcPr>
            <w:tcW w:type="dxa" w:w="4896"/>
            <w:vAlign w:val="center"/>
            <w:shd w:fill="F1F5F9"/>
          </w:tcPr>
          <w:p>
            <w:pPr>
              <w:keepNext w:val="0"/>
              <w:spacing w:after="20" w:before="20" w:line="259" w:lineRule="auto"/>
            </w:pPr>
            <w:r>
              <w:rPr>
                <w:rFonts w:ascii="DejaVu Sans" w:hAnsi="DejaVu Sans"/>
                <w:b w:val="0"/>
                <w:i w:val="0"/>
                <w:color w:val="000000"/>
                <w:sz w:val="18"/>
              </w:rPr>
              <w:t>Admin may publish future-effective changes; agreed amount/currency survives configuration updates. Drivers cannot create a fare proposal.</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Chat, reviews, support, SOS/audit</w:t>
            </w:r>
          </w:p>
        </w:tc>
        <w:tc>
          <w:tcPr>
            <w:tcW w:type="dxa" w:w="3312"/>
            <w:vAlign w:val="center"/>
            <w:shd w:fill="FFFFFF"/>
          </w:tcPr>
          <w:p>
            <w:pPr>
              <w:keepNext w:val="0"/>
              <w:spacing w:after="20" w:before="20" w:line="259" w:lineRule="auto"/>
            </w:pPr>
            <w:r>
              <w:rPr>
                <w:rFonts w:ascii="DejaVu Sans" w:hAnsi="DejaVu Sans"/>
                <w:b w:val="0"/>
                <w:i w:val="0"/>
                <w:color w:val="000000"/>
                <w:sz w:val="18"/>
              </w:rPr>
              <w:t>PostgreSQL; restricted attachments in object storage</w:t>
            </w:r>
          </w:p>
        </w:tc>
        <w:tc>
          <w:tcPr>
            <w:tcW w:type="dxa" w:w="4896"/>
            <w:vAlign w:val="center"/>
            <w:shd w:fill="FFFFFF"/>
          </w:tcPr>
          <w:p>
            <w:pPr>
              <w:keepNext w:val="0"/>
              <w:spacing w:after="20" w:before="20" w:line="259" w:lineRule="auto"/>
            </w:pPr>
            <w:r>
              <w:rPr>
                <w:rFonts w:ascii="DejaVu Sans" w:hAnsi="DejaVu Sans"/>
                <w:b w:val="0"/>
                <w:i w:val="0"/>
                <w:color w:val="000000"/>
                <w:sz w:val="18"/>
              </w:rPr>
              <w:t>Strict participant/role access and retention policies; no public object URLs or wholesale chat visibility for operations staff.</w:t>
            </w:r>
          </w:p>
        </w:tc>
      </w:tr>
    </w:tbl>
    <w:p>
      <w:pPr>
        <w:spacing w:after="40"/>
      </w:pPr>
    </w:p>
    <w:p>
      <w:r>
        <w:rPr>
          <w:rFonts w:ascii="DejaVu Sans" w:hAnsi="DejaVu Sans"/>
          <w:b w:val="0"/>
          <w:i w:val="0"/>
          <w:color w:val="000000"/>
        </w:rPr>
        <w:t xml:space="preserve">High-frequency driver location writes should not be copied into PostgreSQL on every update. A limited, consent/policy-approved trip trail may be persisted for disputes and safety; its sampling and retention need a decision. Redis position loss may temporarily pause matching until drivers reconnect/repopulate, without erasing trips or offers. Coverage decisions use PostGIS polygons; candidate proximity uses Redis; routes/ETA are computed by a selected map provider. PostGIS supports index-aware polygon coverage queries and Redis GEOSEARCH provides radius/box candidate queries. </w:t>
      </w:r>
      <w:hyperlink r:id="rId11">
        <w:r>
          <w:rPr>
            <w:rFonts w:ascii="DejaVu Sans" w:hAnsi="DejaVu Sans"/>
            <w:color w:val="1F4D78"/>
            <w:sz w:val="22"/>
          </w:rPr>
          <w:t>PostGIS documentation</w:t>
        </w:r>
      </w:hyperlink>
      <w:r>
        <w:rPr>
          <w:rFonts w:ascii="DejaVu Sans" w:hAnsi="DejaVu Sans"/>
          <w:b w:val="0"/>
          <w:i w:val="0"/>
          <w:color w:val="000000"/>
        </w:rPr>
        <w:t xml:space="preserve">, </w:t>
      </w:r>
      <w:hyperlink r:id="rId12">
        <w:r>
          <w:rPr>
            <w:rFonts w:ascii="DejaVu Sans" w:hAnsi="DejaVu Sans"/>
            <w:color w:val="1F4D78"/>
            <w:sz w:val="22"/>
          </w:rPr>
          <w:t>Redis documentation</w:t>
        </w:r>
      </w:hyperlink>
      <w:r>
        <w:rPr>
          <w:rFonts w:ascii="DejaVu Sans" w:hAnsi="DejaVu Sans"/>
          <w:b w:val="0"/>
          <w:i w:val="0"/>
          <w:color w:val="000000"/>
        </w:rPr>
        <w:t>.</w:t>
      </w:r>
    </w:p>
    <w:p>
      <w:bookmarkStart w:id="1069" w:name="HLD_4"/>
      <w:pPr>
        <w:pStyle w:val="Heading1"/>
      </w:pPr>
      <w:r>
        <w:t>4 Key interactions and consistency model</w:t>
      </w:r>
      <w:bookmarkEnd w:id="1069"/>
    </w:p>
    <w:p>
      <w:pPr>
        <w:pStyle w:val="Heading2"/>
      </w:pPr>
      <w:r>
        <w:t>4 1 Onboarding online presence and coverage</w:t>
      </w:r>
    </w:p>
    <w:p>
      <w:pPr>
        <w:tabs>
          <w:tab w:pos="360" w:val="left"/>
        </w:tabs>
        <w:spacing w:after="120"/>
        <w:ind w:left="360" w:hanging="360"/>
      </w:pPr>
      <w:r>
        <w:rPr>
          <w:rFonts w:ascii="DejaVu Sans" w:hAnsi="DejaVu Sans"/>
          <w:b w:val="0"/>
          <w:i w:val="0"/>
          <w:color w:val="000000"/>
        </w:rPr>
        <w:t>1.</w:t>
        <w:tab/>
      </w:r>
      <w:r>
        <w:rPr>
          <w:rFonts w:ascii="DejaVu Sans" w:hAnsi="DejaVu Sans"/>
          <w:b w:val="0"/>
          <w:i w:val="0"/>
          <w:color w:val="000000"/>
        </w:rPr>
        <w:t>A driver submits identity/vehicle information and uploads documents directly to private storage using a short-lived authorization. The backend validates ownership, type, size, and review status; admin approval or suspension is recorded with actor/time/reason. Document requirements depend on the approved Lebanon operating policy.</w:t>
      </w:r>
    </w:p>
    <w:p>
      <w:pPr>
        <w:tabs>
          <w:tab w:pos="360" w:val="left"/>
        </w:tabs>
        <w:spacing w:after="120"/>
        <w:ind w:left="360" w:hanging="360"/>
      </w:pPr>
      <w:r>
        <w:rPr>
          <w:rFonts w:ascii="DejaVu Sans" w:hAnsi="DejaVu Sans"/>
          <w:b w:val="0"/>
          <w:i w:val="0"/>
          <w:color w:val="000000"/>
        </w:rPr>
        <w:t>2.</w:t>
        <w:tab/>
      </w:r>
      <w:r>
        <w:rPr>
          <w:rFonts w:ascii="DejaVu Sans" w:hAnsi="DejaVu Sans"/>
          <w:b w:val="0"/>
          <w:i w:val="0"/>
          <w:color w:val="000000"/>
        </w:rPr>
        <w:t>An approved driver chooses online. The driver app obtains platform-compliant location permission and sends coordinates, timestamp, and quality/accuracy information. The backend validates the update, category, eligibility, and active area before updating Redis. On offline/suspension, it removes or makes the driver ineligible immediately; heartbeat checks still exclude stale geo members.</w:t>
      </w:r>
    </w:p>
    <w:p>
      <w:pPr>
        <w:tabs>
          <w:tab w:pos="360" w:val="left"/>
        </w:tabs>
        <w:spacing w:after="120"/>
        <w:ind w:left="360" w:hanging="360"/>
      </w:pPr>
      <w:r>
        <w:rPr>
          <w:rFonts w:ascii="DejaVu Sans" w:hAnsi="DejaVu Sans"/>
          <w:b w:val="0"/>
          <w:i w:val="0"/>
          <w:color w:val="000000"/>
        </w:rPr>
        <w:t>3.</w:t>
        <w:tab/>
      </w:r>
      <w:r>
        <w:rPr>
          <w:rFonts w:ascii="DejaVu Sans" w:hAnsi="DejaVu Sans"/>
          <w:b w:val="0"/>
          <w:i w:val="0"/>
          <w:color w:val="000000"/>
        </w:rPr>
        <w:t>Admin publishes zone/category activation after preview and authorization. PostGIS geofences govern which pickups may be booked and where drivers may be dispatched. Candidate names do not imply that every surrounding district is open. Saved rider places are private shortcuts and never bypass active coverage checks.</w:t>
      </w:r>
    </w:p>
    <w:p>
      <w:r>
        <w:rPr>
          <w:rFonts w:ascii="DejaVu Sans" w:hAnsi="DejaVu Sans"/>
          <w:b w:val="0"/>
          <w:i w:val="0"/>
          <w:color w:val="000000"/>
        </w:rPr>
        <w:t xml:space="preserve">Android foreground-service and iOS background-location constraints require a real device implementation and user-visible permissions; the platform cannot assume Flutter itself ensures constant GPS delivery. </w:t>
      </w:r>
      <w:hyperlink r:id="rId13">
        <w:r>
          <w:rPr>
            <w:rFonts w:ascii="DejaVu Sans" w:hAnsi="DejaVu Sans"/>
            <w:color w:val="1F4D78"/>
            <w:sz w:val="22"/>
          </w:rPr>
          <w:t>Android documentation</w:t>
        </w:r>
      </w:hyperlink>
      <w:r>
        <w:rPr>
          <w:rFonts w:ascii="DejaVu Sans" w:hAnsi="DejaVu Sans"/>
          <w:b w:val="0"/>
          <w:i w:val="0"/>
          <w:color w:val="000000"/>
        </w:rPr>
        <w:t xml:space="preserve">, </w:t>
      </w:r>
      <w:hyperlink r:id="rId14">
        <w:r>
          <w:rPr>
            <w:rFonts w:ascii="DejaVu Sans" w:hAnsi="DejaVu Sans"/>
            <w:color w:val="1F4D78"/>
            <w:sz w:val="22"/>
          </w:rPr>
          <w:t>Apple documentation</w:t>
        </w:r>
      </w:hyperlink>
      <w:r>
        <w:rPr>
          <w:rFonts w:ascii="DejaVu Sans" w:hAnsi="DejaVu Sans"/>
          <w:b w:val="0"/>
          <w:i w:val="0"/>
          <w:color w:val="000000"/>
        </w:rPr>
        <w:t>.</w:t>
      </w:r>
    </w:p>
    <w:p>
      <w:pPr>
        <w:pStyle w:val="Heading2"/>
      </w:pPr>
      <w:r>
        <w:t>4 2 Immediate request and strictly sequential dispatch</w:t>
      </w:r>
    </w:p>
    <w:p>
      <w:pPr>
        <w:tabs>
          <w:tab w:pos="360" w:val="left"/>
        </w:tabs>
        <w:spacing w:after="120"/>
        <w:ind w:left="360" w:hanging="360"/>
      </w:pPr>
      <w:r>
        <w:rPr>
          <w:rFonts w:ascii="DejaVu Sans" w:hAnsi="DejaVu Sans"/>
          <w:b w:val="0"/>
          <w:i w:val="0"/>
          <w:color w:val="000000"/>
        </w:rPr>
        <w:t>1.</w:t>
        <w:tab/>
      </w:r>
      <w:r>
        <w:rPr>
          <w:rFonts w:ascii="DejaVu Sans" w:hAnsi="DejaVu Sans"/>
          <w:b/>
          <w:i w:val="0"/>
          <w:color w:val="000000"/>
        </w:rPr>
        <w:t>Create request:</w:t>
      </w:r>
      <w:r>
        <w:rPr>
          <w:rFonts w:ascii="DejaVu Sans" w:hAnsi="DejaVu Sans"/>
          <w:b w:val="0"/>
          <w:i w:val="0"/>
          <w:color w:val="000000"/>
        </w:rPr>
        <w:t xml:space="preserve"> The rider sees the CMS-set fare/estimate and sends pickup, destination, category and an idempotency key. The API validates identity and active pickup/service area; it records one ride request and a snapshot of the relevant pricing/currency setting versions. A duplicate client retry returns that same ride.</w:t>
      </w:r>
    </w:p>
    <w:p>
      <w:pPr>
        <w:tabs>
          <w:tab w:pos="360" w:val="left"/>
        </w:tabs>
        <w:spacing w:after="120"/>
        <w:ind w:left="360" w:hanging="360"/>
      </w:pPr>
      <w:r>
        <w:rPr>
          <w:rFonts w:ascii="DejaVu Sans" w:hAnsi="DejaVu Sans"/>
          <w:b w:val="0"/>
          <w:i w:val="0"/>
          <w:color w:val="000000"/>
        </w:rPr>
        <w:t>2.</w:t>
        <w:tab/>
      </w:r>
      <w:r>
        <w:rPr>
          <w:rFonts w:ascii="DejaVu Sans" w:hAnsi="DejaVu Sans"/>
          <w:b/>
          <w:i w:val="0"/>
          <w:color w:val="000000"/>
        </w:rPr>
        <w:t>Choose candidate:</w:t>
      </w:r>
      <w:r>
        <w:rPr>
          <w:rFonts w:ascii="DejaVu Sans" w:hAnsi="DejaVu Sans"/>
          <w:b w:val="0"/>
          <w:i w:val="0"/>
          <w:color w:val="000000"/>
        </w:rPr>
        <w:t xml:space="preserve"> HLD-09 asks Redis for nearby fresh, approved, online drivers of the chosen category. It excludes those already reserved/busy and may use HLD-13 for road ETA on a small shortlist. Redis is a shortlist, so current PostgreSQL eligibility and active assignment are rechecked at offer creation.</w:t>
      </w:r>
    </w:p>
    <w:p>
      <w:pPr>
        <w:tabs>
          <w:tab w:pos="360" w:val="left"/>
        </w:tabs>
        <w:spacing w:after="120"/>
        <w:ind w:left="360" w:hanging="360"/>
      </w:pPr>
      <w:r>
        <w:rPr>
          <w:rFonts w:ascii="DejaVu Sans" w:hAnsi="DejaVu Sans"/>
          <w:b w:val="0"/>
          <w:i w:val="0"/>
          <w:color w:val="000000"/>
        </w:rPr>
        <w:t>3.</w:t>
        <w:tab/>
      </w:r>
      <w:r>
        <w:rPr>
          <w:rFonts w:ascii="DejaVu Sans" w:hAnsi="DejaVu Sans"/>
          <w:b/>
          <w:i w:val="0"/>
          <w:color w:val="000000"/>
        </w:rPr>
        <w:t>Issue one delivery attempt:</w:t>
      </w:r>
      <w:r>
        <w:rPr>
          <w:rFonts w:ascii="DejaVu Sans" w:hAnsi="DejaVu Sans"/>
          <w:b w:val="0"/>
          <w:i w:val="0"/>
          <w:color w:val="000000"/>
        </w:rPr>
        <w:t xml:space="preserve"> A PostgreSQL transaction locks the ride request, checks that it has no outstanding offer, reserves one candidate's dispatch slot, creates one offer in </w:t>
      </w:r>
      <w:r>
        <w:rPr>
          <w:rFonts w:ascii="DejaVu Sans Mono" w:hAnsi="DejaVu Sans Mono"/>
          <w:b w:val="0"/>
          <w:i w:val="0"/>
          <w:color w:val="000000"/>
          <w:sz w:val="18"/>
        </w:rPr>
        <w:t>PENDING_​ACK</w:t>
      </w:r>
      <w:r>
        <w:rPr>
          <w:rFonts w:ascii="DejaVu Sans" w:hAnsi="DejaVu Sans"/>
          <w:b w:val="0"/>
          <w:i w:val="0"/>
          <w:color w:val="000000"/>
        </w:rPr>
        <w:t xml:space="preserve"> with its unique identity and a </w:t>
      </w:r>
      <w:r>
        <w:rPr>
          <w:rFonts w:ascii="DejaVu Sans" w:hAnsi="DejaVu Sans"/>
          <w:b/>
          <w:i w:val="0"/>
          <w:color w:val="000000"/>
        </w:rPr>
        <w:t>separate bounded acknowledgment deadline</w:t>
      </w:r>
      <w:r>
        <w:rPr>
          <w:rFonts w:ascii="DejaVu Sans" w:hAnsi="DejaVu Sans"/>
          <w:b w:val="0"/>
          <w:i w:val="0"/>
          <w:color w:val="000000"/>
        </w:rPr>
        <w:t>, and records an outbox delivery event. The offer displays the CMS-set fare/currency. A database invariant prohibits more than one outstanding offer per ride, including the delivery-pending state. No other driver is issued an actionable offer while this slot is occupied.</w:t>
      </w:r>
    </w:p>
    <w:p>
      <w:pPr>
        <w:tabs>
          <w:tab w:pos="360" w:val="left"/>
        </w:tabs>
        <w:spacing w:after="120"/>
        <w:ind w:left="360" w:hanging="360"/>
      </w:pPr>
      <w:r>
        <w:rPr>
          <w:rFonts w:ascii="DejaVu Sans" w:hAnsi="DejaVu Sans"/>
          <w:b w:val="0"/>
          <w:i w:val="0"/>
          <w:color w:val="000000"/>
        </w:rPr>
        <w:t>4.</w:t>
        <w:tab/>
      </w:r>
      <w:r>
        <w:rPr>
          <w:rFonts w:ascii="DejaVu Sans" w:hAnsi="DejaVu Sans"/>
          <w:b/>
          <w:i w:val="0"/>
          <w:color w:val="000000"/>
        </w:rPr>
        <w:t>Driver-app receipt acknowledgment:</w:t>
      </w:r>
      <w:r>
        <w:rPr>
          <w:rFonts w:ascii="DejaVu Sans" w:hAnsi="DejaVu Sans"/>
          <w:b w:val="0"/>
          <w:i w:val="0"/>
          <w:color w:val="000000"/>
        </w:rPr>
        <w:t xml:space="preserve"> The authenticated intended driver app acknowledges the exact offer ID after receiving it. The backend atomically checks that the offer is still </w:t>
      </w:r>
      <w:r>
        <w:rPr>
          <w:rFonts w:ascii="DejaVu Sans Mono" w:hAnsi="DejaVu Sans Mono"/>
          <w:b w:val="0"/>
          <w:i w:val="0"/>
          <w:color w:val="000000"/>
          <w:sz w:val="18"/>
        </w:rPr>
        <w:t>PENDING_​ACK</w:t>
      </w:r>
      <w:r>
        <w:rPr>
          <w:rFonts w:ascii="DejaVu Sans" w:hAnsi="DejaVu Sans"/>
          <w:b w:val="0"/>
          <w:i w:val="0"/>
          <w:color w:val="000000"/>
        </w:rPr>
        <w:t xml:space="preserve">, that the acknowledgment deadline has not passed and that eligibility still holds, then sets </w:t>
      </w:r>
      <w:r>
        <w:rPr>
          <w:rFonts w:ascii="DejaVu Sans Mono" w:hAnsi="DejaVu Sans Mono"/>
          <w:b w:val="0"/>
          <w:i w:val="0"/>
          <w:color w:val="000000"/>
          <w:sz w:val="18"/>
        </w:rPr>
        <w:t>ACTIVE</w:t>
      </w:r>
      <w:r>
        <w:rPr>
          <w:rFonts w:ascii="DejaVu Sans" w:hAnsi="DejaVu Sans"/>
          <w:b w:val="0"/>
          <w:i w:val="0"/>
          <w:color w:val="000000"/>
        </w:rPr>
        <w:t xml:space="preserve"> and computes the three-second acceptance deadline from the database clock. A duplicate acknowledgment returns the same active deadline. If acknowledgment never arrives by the separate timeout, the attempt expires without opening an acceptance window. Acknowledgment proves app receipt, </w:t>
      </w:r>
      <w:r>
        <w:rPr>
          <w:rFonts w:ascii="DejaVu Sans" w:hAnsi="DejaVu Sans"/>
          <w:b/>
          <w:i w:val="0"/>
          <w:color w:val="000000"/>
        </w:rPr>
        <w:t>not</w:t>
      </w:r>
      <w:r>
        <w:rPr>
          <w:rFonts w:ascii="DejaVu Sans" w:hAnsi="DejaVu Sans"/>
          <w:b w:val="0"/>
          <w:i w:val="0"/>
          <w:color w:val="000000"/>
        </w:rPr>
        <w:t xml:space="preserve"> that the human saw the offer.</w:t>
      </w:r>
    </w:p>
    <w:p>
      <w:pPr>
        <w:tabs>
          <w:tab w:pos="360" w:val="left"/>
        </w:tabs>
        <w:spacing w:after="120"/>
        <w:ind w:left="360" w:hanging="360"/>
      </w:pPr>
      <w:r>
        <w:rPr>
          <w:rFonts w:ascii="DejaVu Sans" w:hAnsi="DejaVu Sans"/>
          <w:b w:val="0"/>
          <w:i w:val="0"/>
          <w:color w:val="000000"/>
        </w:rPr>
        <w:t>5.</w:t>
        <w:tab/>
      </w:r>
      <w:r>
        <w:rPr>
          <w:rFonts w:ascii="DejaVu Sans" w:hAnsi="DejaVu Sans"/>
          <w:b/>
          <w:i w:val="0"/>
          <w:color w:val="000000"/>
        </w:rPr>
        <w:t>Accept or decline:</w:t>
      </w:r>
      <w:r>
        <w:rPr>
          <w:rFonts w:ascii="DejaVu Sans" w:hAnsi="DejaVu Sans"/>
          <w:b w:val="0"/>
          <w:i w:val="0"/>
          <w:color w:val="000000"/>
        </w:rPr>
        <w:t xml:space="preserve"> An acceptance carries ride ID, offer ID, driver identity, and an idempotency key. In one transaction, the service checks the driver, request, offer identity, active three-second deadline, CMS fare snapshot, and lack of other active assignments, then changes the offer/ride/driver reservation atomically. Driver acceptance confirms the booking; no driver price entry or rider counter-offer exists. Declines and stale/expired replies cannot succeed. A uniqueness constraint for the outstanding offer and an active driver-assignment constraint remain the final guard across API instances. PostgreSQL can enforce uniqueness over a subset of states with a partial unique index. </w:t>
      </w:r>
      <w:hyperlink r:id="rId15">
        <w:r>
          <w:rPr>
            <w:rFonts w:ascii="DejaVu Sans" w:hAnsi="DejaVu Sans"/>
            <w:color w:val="1F4D78"/>
            <w:sz w:val="22"/>
          </w:rPr>
          <w:t>PostgreSQL documentation</w:t>
        </w:r>
      </w:hyperlink>
      <w:r>
        <w:rPr>
          <w:rFonts w:ascii="DejaVu Sans" w:hAnsi="DejaVu Sans"/>
          <w:b w:val="0"/>
          <w:i w:val="0"/>
          <w:color w:val="000000"/>
        </w:rPr>
        <w:t>.</w:t>
      </w:r>
    </w:p>
    <w:p>
      <w:pPr>
        <w:tabs>
          <w:tab w:pos="360" w:val="left"/>
        </w:tabs>
        <w:spacing w:after="120"/>
        <w:ind w:left="360" w:hanging="360"/>
      </w:pPr>
      <w:r>
        <w:rPr>
          <w:rFonts w:ascii="DejaVu Sans" w:hAnsi="DejaVu Sans"/>
          <w:b w:val="0"/>
          <w:i w:val="0"/>
          <w:color w:val="000000"/>
        </w:rPr>
        <w:t>6.</w:t>
        <w:tab/>
      </w:r>
      <w:r>
        <w:rPr>
          <w:rFonts w:ascii="DejaVu Sans" w:hAnsi="DejaVu Sans"/>
          <w:b/>
          <w:i w:val="0"/>
          <w:color w:val="000000"/>
        </w:rPr>
        <w:t>Advance the queue:</w:t>
      </w:r>
      <w:r>
        <w:rPr>
          <w:rFonts w:ascii="DejaVu Sans" w:hAnsi="DejaVu Sans"/>
          <w:b w:val="0"/>
          <w:i w:val="0"/>
          <w:color w:val="000000"/>
        </w:rPr>
        <w:t xml:space="preserve"> When the acknowledgment deadline or the three-second acceptance deadline passes, a durable worker transaction ends the current attempt </w:t>
      </w:r>
      <w:r>
        <w:rPr>
          <w:rFonts w:ascii="DejaVu Sans" w:hAnsi="DejaVu Sans"/>
          <w:b/>
          <w:i w:val="0"/>
          <w:color w:val="000000"/>
        </w:rPr>
        <w:t>before</w:t>
      </w:r>
      <w:r>
        <w:rPr>
          <w:rFonts w:ascii="DejaVu Sans" w:hAnsi="DejaVu Sans"/>
          <w:b w:val="0"/>
          <w:i w:val="0"/>
          <w:color w:val="000000"/>
        </w:rPr>
        <w:t xml:space="preserve"> creating the next one. Decline can trigger the same transition early. If there is no other eligible candidate, a previously attempted driver can receive a </w:t>
      </w:r>
      <w:r>
        <w:rPr>
          <w:rFonts w:ascii="DejaVu Sans" w:hAnsi="DejaVu Sans"/>
          <w:b w:val="0"/>
          <w:i/>
          <w:color w:val="000000"/>
        </w:rPr>
        <w:t>new</w:t>
      </w:r>
      <w:r>
        <w:rPr>
          <w:rFonts w:ascii="DejaVu Sans" w:hAnsi="DejaVu Sans"/>
          <w:b w:val="0"/>
          <w:i w:val="0"/>
          <w:color w:val="000000"/>
        </w:rPr>
        <w:t xml:space="preserve"> offer and deadlines; maximum attempts and total rider wait time await owner policy. A worker crash must not strand an attempt: deadlines are recovered from durable records when workers resume or another instance takes over.</w:t>
      </w:r>
    </w:p>
    <w:p>
      <w:pPr>
        <w:tabs>
          <w:tab w:pos="360" w:val="left"/>
        </w:tabs>
        <w:spacing w:after="120"/>
        <w:ind w:left="360" w:hanging="360"/>
      </w:pPr>
      <w:r>
        <w:rPr>
          <w:rFonts w:ascii="DejaVu Sans" w:hAnsi="DejaVu Sans"/>
          <w:b w:val="0"/>
          <w:i w:val="0"/>
          <w:color w:val="000000"/>
        </w:rPr>
        <w:t>7.</w:t>
        <w:tab/>
      </w:r>
      <w:r>
        <w:rPr>
          <w:rFonts w:ascii="DejaVu Sans" w:hAnsi="DejaVu Sans"/>
          <w:b/>
          <w:i w:val="0"/>
          <w:color w:val="000000"/>
        </w:rPr>
        <w:t>Notify and recover:</w:t>
      </w:r>
      <w:r>
        <w:rPr>
          <w:rFonts w:ascii="DejaVu Sans" w:hAnsi="DejaVu Sans"/>
          <w:b w:val="0"/>
          <w:i w:val="0"/>
          <w:color w:val="000000"/>
        </w:rPr>
        <w:t xml:space="preserve"> WebSocket and push signal offer changes, but neither determines ownership. Driver app countdown and server acceptance use the server-issued offer identity and authoritative deadline returned after acknowledgment. The app checks server state before presenting a late notification as actionable. After reconnect, both apps fetch current ride/offer state. A delayed push or repeated socket event referring to an old offer can never reopen it. An operating-system notification can still arrive late while another driver has the current offer; its delivery time cannot be controlled by the backend. The enforceable invariant is </w:t>
      </w:r>
      <w:r>
        <w:rPr>
          <w:rFonts w:ascii="DejaVu Sans" w:hAnsi="DejaVu Sans"/>
          <w:b/>
          <w:i w:val="0"/>
          <w:color w:val="000000"/>
        </w:rPr>
        <w:t>one active, acceptable driver offer per ride</w:t>
      </w:r>
      <w:r>
        <w:rPr>
          <w:rFonts w:ascii="DejaVu Sans" w:hAnsi="DejaVu Sans"/>
          <w:b w:val="0"/>
          <w:i w:val="0"/>
          <w:color w:val="000000"/>
        </w:rPr>
        <w:t>, not an impossible guarantee about network packet arrival.</w:t>
      </w:r>
    </w:p>
    <w:p>
      <w:r>
        <w:rPr>
          <w:rFonts w:ascii="DejaVu Sans" w:hAnsi="DejaVu Sans"/>
          <w:b/>
          <w:i w:val="0"/>
          <w:color w:val="000000"/>
        </w:rPr>
        <w:t>Three-second delivery risk:</w:t>
      </w:r>
      <w:r>
        <w:rPr>
          <w:rFonts w:ascii="DejaVu Sans" w:hAnsi="DejaVu Sans"/>
          <w:b w:val="0"/>
          <w:i w:val="0"/>
          <w:color w:val="000000"/>
        </w:rPr>
        <w:t xml:space="preserve"> The owner chose the app-acknowledgment start, so a non-acknowledged background push does </w:t>
      </w:r>
      <w:r>
        <w:rPr>
          <w:rFonts w:ascii="DejaVu Sans" w:hAnsi="DejaVu Sans"/>
          <w:b/>
          <w:i w:val="0"/>
          <w:color w:val="000000"/>
        </w:rPr>
        <w:t>not</w:t>
      </w:r>
      <w:r>
        <w:rPr>
          <w:rFonts w:ascii="DejaVu Sans" w:hAnsi="DejaVu Sans"/>
          <w:b w:val="0"/>
          <w:i w:val="0"/>
          <w:color w:val="000000"/>
        </w:rPr>
        <w:t xml:space="preserve"> start the three seconds. Even high-priority push is not a prompt-delivery guarantee, and app receipt does not prove the driver looked at the screen. The bounded acknowledgment timeout and eligibility of background/disconnected devices remain to be configured and tested on real phones. The HLD does </w:t>
      </w:r>
      <w:r>
        <w:rPr>
          <w:rFonts w:ascii="DejaVu Sans" w:hAnsi="DejaVu Sans"/>
          <w:b/>
          <w:i w:val="0"/>
          <w:color w:val="000000"/>
        </w:rPr>
        <w:t>not</w:t>
      </w:r>
      <w:r>
        <w:rPr>
          <w:rFonts w:ascii="DejaVu Sans" w:hAnsi="DejaVu Sans"/>
          <w:b w:val="0"/>
          <w:i w:val="0"/>
          <w:color w:val="000000"/>
        </w:rPr>
        <w:t xml:space="preserve"> treat receipt acknowledgment or a notification tap as acceptance. </w:t>
      </w:r>
      <w:hyperlink r:id="rId16">
        <w:r>
          <w:rPr>
            <w:rFonts w:ascii="DejaVu Sans" w:hAnsi="DejaVu Sans"/>
            <w:color w:val="1F4D78"/>
            <w:sz w:val="22"/>
          </w:rPr>
          <w:t>Firebase priority guidance</w:t>
        </w:r>
      </w:hyperlink>
      <w:r>
        <w:rPr>
          <w:rFonts w:ascii="DejaVu Sans" w:hAnsi="DejaVu Sans"/>
          <w:b w:val="0"/>
          <w:i w:val="0"/>
          <w:color w:val="000000"/>
        </w:rPr>
        <w:t xml:space="preserve">, </w:t>
      </w:r>
      <w:hyperlink r:id="rId17">
        <w:r>
          <w:rPr>
            <w:rFonts w:ascii="DejaVu Sans" w:hAnsi="DejaVu Sans"/>
            <w:color w:val="1F4D78"/>
            <w:sz w:val="22"/>
          </w:rPr>
          <w:t>Android background notification behavior</w:t>
        </w:r>
      </w:hyperlink>
      <w:r>
        <w:rPr>
          <w:rFonts w:ascii="DejaVu Sans" w:hAnsi="DejaVu Sans"/>
          <w:b w:val="0"/>
          <w:i w:val="0"/>
          <w:color w:val="000000"/>
        </w:rPr>
        <w:t>.</w:t>
      </w:r>
    </w:p>
    <w:p>
      <w:pPr>
        <w:pStyle w:val="Heading2"/>
      </w:pPr>
      <w:r>
        <w:t>4 3 CMS controlled fare</w:t>
      </w:r>
    </w:p>
    <w:p>
      <w:r>
        <w:rPr>
          <w:rFonts w:ascii="DejaVu Sans" w:hAnsi="DejaVu Sans"/>
          <w:b w:val="0"/>
          <w:i w:val="0"/>
          <w:color w:val="000000"/>
        </w:rPr>
        <w:t>HLD-11 calculates a fare/estimate using published CMS rules, area/category rate configuration and USD or LBP currency version. The rider sees it before requesting; the driver sees the same agreed fare snapshot during the acknowledgment/three-second offer flow. The accepted fare policy/version, amount and currency are copied into the ride agreement. Driver price entry, negotiation, and counter-offers are excluded by the owner's clarification. Any post-ride adjustment requires an approved policy and a separate record; an admin edit cannot silently reprice an agreed ride. Exact base/distance/time formula, fixed-versus-calculated alternatives, taxes, and conversion remain open rather than assumed.</w:t>
      </w:r>
    </w:p>
    <w:p>
      <w:pPr>
        <w:pStyle w:val="Heading2"/>
      </w:pPr>
      <w:r>
        <w:t>4 4 Trip cash and post trip cases</w:t>
      </w:r>
    </w:p>
    <w:p>
      <w:r>
        <w:rPr>
          <w:rFonts w:ascii="DejaVu Sans" w:hAnsi="DejaVu Sans"/>
          <w:b w:val="0"/>
          <w:i w:val="0"/>
          <w:color w:val="000000"/>
        </w:rPr>
        <w:t xml:space="preserve">HLD-10 controls trip transitions and prevents a client from declaring an impossible state. Once the booking is confirmed, the rider receives assigned-driver identity and appropriate current location, and both participants can use the approved phone/chat contact window. The driver follows a map route or approved navigation handoff. The system records cash as reported collected, disputed or unresolved as appropriate to later policy; a cash flag is </w:t>
      </w:r>
      <w:r>
        <w:rPr>
          <w:rFonts w:ascii="DejaVu Sans" w:hAnsi="DejaVu Sans"/>
          <w:b/>
          <w:i w:val="0"/>
          <w:color w:val="000000"/>
        </w:rPr>
        <w:t>not</w:t>
      </w:r>
      <w:r>
        <w:rPr>
          <w:rFonts w:ascii="DejaVu Sans" w:hAnsi="DejaVu Sans"/>
          <w:b w:val="0"/>
          <w:i w:val="0"/>
          <w:color w:val="000000"/>
        </w:rPr>
        <w:t xml:space="preserve"> a provider-verified bank settlement. No future payment option can trigger a charge while disabled. Future adapters must preserve idempotent financial records and approved ledger/reconciliation behavior.</w:t>
      </w:r>
    </w:p>
    <w:p>
      <w:r>
        <w:rPr>
          <w:rFonts w:ascii="DejaVu Sans" w:hAnsi="DejaVu Sans"/>
          <w:b w:val="0"/>
          <w:i w:val="0"/>
          <w:color w:val="000000"/>
        </w:rPr>
        <w:t>After completion, HLD-18 offers a rider→driver and driver→rider review tied to that ride; format, visibility and moderation are pending. The rider may open a forgotten-item case and the driver may open a mess/damage case. HLD-16 links each case to the ride, retains authorized messages/evidence, provides case status and a human review path. A driver claim does not create a rider debt or charge automatically. Case deadlines, remedies and appeals remain pending.</w:t>
      </w:r>
    </w:p>
    <w:p>
      <w:pPr>
        <w:pStyle w:val="Heading2"/>
      </w:pPr>
      <w:r>
        <w:t>4 5 SOS support translation and phone contact</w:t>
      </w:r>
    </w:p>
    <w:p>
      <w:r>
        <w:rPr>
          <w:rFonts w:ascii="DejaVu Sans" w:hAnsi="DejaVu Sans"/>
          <w:b w:val="0"/>
          <w:i w:val="0"/>
          <w:color w:val="000000"/>
        </w:rPr>
        <w:t>HLD-17 publishes a versioned, admin-approved list of supported SOS actions, limited to registered safe action types: emergency call handoff, support alert, trusted-contact notification, or an explicitly reviewed additional action. Configuration changes are role-restricted, previewable, auditable and should be testable before publication. The screen accurately distinguishes opening the phone dialer from delivery of a support/trusted-contact alert; no UI promises that emergency services or a human responder answered. Support/SOS delivery attempts and escalations are recorded; operational staffing and local emergency contact details are pending.</w:t>
      </w:r>
    </w:p>
    <w:p>
      <w:r>
        <w:rPr>
          <w:rFonts w:ascii="DejaVu Sans" w:hAnsi="DejaVu Sans"/>
          <w:b w:val="0"/>
          <w:i w:val="0"/>
          <w:color w:val="000000"/>
        </w:rPr>
        <w:t>HLD-15 stores original chat text and translated versions linked to an authorized trip; translation failure leaves the original readable. After confirmation, the client can initiate an ordinary phone call outside the app under the approved contact/number-exposure window. The precise number visibility and lifetime require owner approval. Support staff only see content necessary to resolve an assigned case, with auditable access to sensitive evidence.</w:t>
      </w:r>
    </w:p>
    <w:p>
      <w:bookmarkStart w:id="1074" w:name="HLD_5"/>
      <w:pPr>
        <w:pStyle w:val="Heading1"/>
      </w:pPr>
      <w:r>
        <w:t>5 Failure handling and recovery</w:t>
      </w:r>
      <w:bookmarkEnd w:id="1074"/>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160"/>
        <w:gridCol w:w="6408"/>
        <w:gridCol w:w="1656"/>
      </w:tblGrid>
      <w:tr>
        <w:trPr>
          <w:cantSplit/>
          <w:tblHeader/>
        </w:trPr>
        <w:tc>
          <w:tcPr>
            <w:tcW w:type="dxa" w:w="2160"/>
            <w:vAlign w:val="center"/>
            <w:shd w:fill="173A5E"/>
          </w:tcPr>
          <w:p>
            <w:pPr>
              <w:keepNext w:val="0"/>
              <w:spacing w:after="20" w:before="20" w:line="259" w:lineRule="auto"/>
            </w:pPr>
            <w:r>
              <w:rPr>
                <w:rFonts w:ascii="DejaVu Sans" w:hAnsi="DejaVu Sans"/>
                <w:b/>
                <w:i w:val="0"/>
                <w:color w:val="FFFFFF"/>
                <w:sz w:val="18"/>
              </w:rPr>
              <w:t>Failure</w:t>
            </w:r>
          </w:p>
        </w:tc>
        <w:tc>
          <w:tcPr>
            <w:tcW w:type="dxa" w:w="6408"/>
            <w:vAlign w:val="center"/>
            <w:shd w:fill="173A5E"/>
          </w:tcPr>
          <w:p>
            <w:pPr>
              <w:keepNext w:val="0"/>
              <w:spacing w:after="20" w:before="20" w:line="259" w:lineRule="auto"/>
            </w:pPr>
            <w:r>
              <w:rPr>
                <w:rFonts w:ascii="DejaVu Sans" w:hAnsi="DejaVu Sans"/>
                <w:b/>
                <w:i w:val="0"/>
                <w:color w:val="FFFFFF"/>
                <w:sz w:val="18"/>
              </w:rPr>
              <w:t>Intended behavior and limit</w:t>
            </w:r>
          </w:p>
        </w:tc>
        <w:tc>
          <w:tcPr>
            <w:tcW w:type="dxa" w:w="1656"/>
            <w:vAlign w:val="center"/>
            <w:shd w:fill="173A5E"/>
          </w:tcPr>
          <w:p>
            <w:pPr>
              <w:keepNext w:val="0"/>
              <w:spacing w:after="20" w:before="20" w:line="259" w:lineRule="auto"/>
            </w:pPr>
            <w:r>
              <w:rPr>
                <w:rFonts w:ascii="DejaVu Sans" w:hAnsi="DejaVu Sans"/>
                <w:b/>
                <w:i w:val="0"/>
                <w:color w:val="FFFFFF"/>
                <w:sz w:val="18"/>
              </w:rPr>
              <w:t>Trace</w:t>
            </w:r>
          </w:p>
        </w:tc>
      </w:tr>
      <w:tr>
        <w:trPr>
          <w:cantSplit/>
        </w:trPr>
        <w:tc>
          <w:tcPr>
            <w:tcW w:type="dxa" w:w="2160"/>
            <w:vAlign w:val="center"/>
            <w:shd w:fill="FFFFFF"/>
          </w:tcPr>
          <w:p>
            <w:pPr>
              <w:keepNext w:val="0"/>
              <w:spacing w:after="20" w:before="20" w:line="259" w:lineRule="auto"/>
            </w:pPr>
            <w:r>
              <w:rPr>
                <w:rFonts w:ascii="DejaVu Sans" w:hAnsi="DejaVu Sans"/>
                <w:b w:val="0"/>
                <w:i w:val="0"/>
                <w:color w:val="000000"/>
                <w:sz w:val="18"/>
              </w:rPr>
              <w:t>Delayed/duplicated WebSocket or push</w:t>
            </w:r>
          </w:p>
        </w:tc>
        <w:tc>
          <w:tcPr>
            <w:tcW w:type="dxa" w:w="6408"/>
            <w:vAlign w:val="center"/>
            <w:shd w:fill="FFFFFF"/>
          </w:tcPr>
          <w:p>
            <w:pPr>
              <w:keepNext w:val="0"/>
              <w:spacing w:after="20" w:before="20" w:line="259" w:lineRule="auto"/>
            </w:pPr>
            <w:r>
              <w:rPr>
                <w:rFonts w:ascii="DejaVu Sans" w:hAnsi="DejaVu Sans"/>
                <w:b w:val="0"/>
                <w:i w:val="0"/>
                <w:color w:val="000000"/>
                <w:sz w:val="18"/>
              </w:rPr>
              <w:t>Clients reconcile from API snapshot; offer IDs and server deadlines reject stale responses; no duplicate assignment. The driver may miss a three-second offer in the background.</w:t>
            </w:r>
          </w:p>
        </w:tc>
        <w:tc>
          <w:tcPr>
            <w:tcW w:type="dxa" w:w="1656"/>
            <w:vAlign w:val="center"/>
            <w:shd w:fill="FFFFFF"/>
          </w:tcPr>
          <w:p>
            <w:pPr>
              <w:keepNext w:val="0"/>
              <w:spacing w:after="20" w:before="20" w:line="259" w:lineRule="auto"/>
            </w:pPr>
            <w:r>
              <w:rPr>
                <w:rFonts w:ascii="DejaVu Sans" w:hAnsi="DejaVu Sans"/>
                <w:b w:val="0"/>
                <w:i w:val="0"/>
                <w:color w:val="000000"/>
                <w:sz w:val="18"/>
              </w:rPr>
              <w:t>BR-12–13, BR-17–22, NFR-02, NFR-12</w:t>
            </w:r>
          </w:p>
        </w:tc>
      </w:tr>
      <w:tr>
        <w:trPr>
          <w:cantSplit/>
        </w:trPr>
        <w:tc>
          <w:tcPr>
            <w:tcW w:type="dxa" w:w="2160"/>
            <w:vAlign w:val="center"/>
            <w:shd w:fill="F1F5F9"/>
          </w:tcPr>
          <w:p>
            <w:pPr>
              <w:keepNext w:val="0"/>
              <w:spacing w:after="20" w:before="20" w:line="259" w:lineRule="auto"/>
            </w:pPr>
            <w:r>
              <w:rPr>
                <w:rFonts w:ascii="DejaVu Sans" w:hAnsi="DejaVu Sans"/>
                <w:b w:val="0"/>
                <w:i w:val="0"/>
                <w:color w:val="000000"/>
                <w:sz w:val="18"/>
              </w:rPr>
              <w:t>Driver GPS stale, inaccurate, offline, or permission revoked</w:t>
            </w:r>
          </w:p>
        </w:tc>
        <w:tc>
          <w:tcPr>
            <w:tcW w:type="dxa" w:w="6408"/>
            <w:vAlign w:val="center"/>
            <w:shd w:fill="F1F5F9"/>
          </w:tcPr>
          <w:p>
            <w:pPr>
              <w:keepNext w:val="0"/>
              <w:spacing w:after="20" w:before="20" w:line="259" w:lineRule="auto"/>
            </w:pPr>
            <w:r>
              <w:rPr>
                <w:rFonts w:ascii="DejaVu Sans" w:hAnsi="DejaVu Sans"/>
                <w:b w:val="0"/>
                <w:i w:val="0"/>
                <w:color w:val="000000"/>
                <w:sz w:val="18"/>
              </w:rPr>
              <w:t>Exclude from new matching, show stale/unknown rather than live on map, retry after valid heartbeat; preserve ongoing trip truth.</w:t>
            </w:r>
          </w:p>
        </w:tc>
        <w:tc>
          <w:tcPr>
            <w:tcW w:type="dxa" w:w="1656"/>
            <w:vAlign w:val="center"/>
            <w:shd w:fill="F1F5F9"/>
          </w:tcPr>
          <w:p>
            <w:pPr>
              <w:keepNext w:val="0"/>
              <w:spacing w:after="20" w:before="20" w:line="259" w:lineRule="auto"/>
            </w:pPr>
            <w:r>
              <w:rPr>
                <w:rFonts w:ascii="DejaVu Sans" w:hAnsi="DejaVu Sans"/>
                <w:b w:val="0"/>
                <w:i w:val="0"/>
                <w:color w:val="000000"/>
                <w:sz w:val="18"/>
              </w:rPr>
              <w:t>BR-07–08, BR-11, BR-21, NFR-03</w:t>
            </w:r>
          </w:p>
        </w:tc>
      </w:tr>
      <w:tr>
        <w:trPr>
          <w:cantSplit/>
        </w:trPr>
        <w:tc>
          <w:tcPr>
            <w:tcW w:type="dxa" w:w="2160"/>
            <w:vAlign w:val="center"/>
            <w:shd w:fill="FFFFFF"/>
          </w:tcPr>
          <w:p>
            <w:pPr>
              <w:keepNext w:val="0"/>
              <w:spacing w:after="20" w:before="20" w:line="259" w:lineRule="auto"/>
            </w:pPr>
            <w:r>
              <w:rPr>
                <w:rFonts w:ascii="DejaVu Sans" w:hAnsi="DejaVu Sans"/>
                <w:b w:val="0"/>
                <w:i w:val="0"/>
                <w:color w:val="000000"/>
                <w:sz w:val="18"/>
              </w:rPr>
              <w:t>Redis outage or evicted location data</w:t>
            </w:r>
          </w:p>
        </w:tc>
        <w:tc>
          <w:tcPr>
            <w:tcW w:type="dxa" w:w="6408"/>
            <w:vAlign w:val="center"/>
            <w:shd w:fill="FFFFFF"/>
          </w:tcPr>
          <w:p>
            <w:pPr>
              <w:keepNext w:val="0"/>
              <w:spacing w:after="20" w:before="20" w:line="259" w:lineRule="auto"/>
            </w:pPr>
            <w:r>
              <w:rPr>
                <w:rFonts w:ascii="DejaVu Sans" w:hAnsi="DejaVu Sans"/>
                <w:b w:val="0"/>
                <w:i w:val="0"/>
                <w:color w:val="000000"/>
                <w:sz w:val="18"/>
              </w:rPr>
              <w:t>Stop or degrade new geo matching instead of guessing nearby drivers; ask drivers to repopulate presence. Existing trips and offers remain in PostgreSQL.</w:t>
            </w:r>
          </w:p>
        </w:tc>
        <w:tc>
          <w:tcPr>
            <w:tcW w:type="dxa" w:w="1656"/>
            <w:vAlign w:val="center"/>
            <w:shd w:fill="FFFFFF"/>
          </w:tcPr>
          <w:p>
            <w:pPr>
              <w:keepNext w:val="0"/>
              <w:spacing w:after="20" w:before="20" w:line="259" w:lineRule="auto"/>
            </w:pPr>
            <w:r>
              <w:rPr>
                <w:rFonts w:ascii="DejaVu Sans" w:hAnsi="DejaVu Sans"/>
                <w:b w:val="0"/>
                <w:i w:val="0"/>
                <w:color w:val="000000"/>
                <w:sz w:val="18"/>
              </w:rPr>
              <w:t>BR-10–13, NFR-02–03</w:t>
            </w:r>
          </w:p>
        </w:tc>
      </w:tr>
      <w:tr>
        <w:trPr>
          <w:cantSplit/>
        </w:trPr>
        <w:tc>
          <w:tcPr>
            <w:tcW w:type="dxa" w:w="2160"/>
            <w:vAlign w:val="center"/>
            <w:shd w:fill="F1F5F9"/>
          </w:tcPr>
          <w:p>
            <w:pPr>
              <w:keepNext w:val="0"/>
              <w:spacing w:after="20" w:before="20" w:line="259" w:lineRule="auto"/>
            </w:pPr>
            <w:r>
              <w:rPr>
                <w:rFonts w:ascii="DejaVu Sans" w:hAnsi="DejaVu Sans"/>
                <w:b w:val="0"/>
                <w:i w:val="0"/>
                <w:color w:val="000000"/>
                <w:sz w:val="18"/>
              </w:rPr>
              <w:t>PostgreSQL outage/failover</w:t>
            </w:r>
          </w:p>
        </w:tc>
        <w:tc>
          <w:tcPr>
            <w:tcW w:type="dxa" w:w="6408"/>
            <w:vAlign w:val="center"/>
            <w:shd w:fill="F1F5F9"/>
          </w:tcPr>
          <w:p>
            <w:pPr>
              <w:keepNext w:val="0"/>
              <w:spacing w:after="20" w:before="20" w:line="259" w:lineRule="auto"/>
            </w:pPr>
            <w:r>
              <w:rPr>
                <w:rFonts w:ascii="DejaVu Sans" w:hAnsi="DejaVu Sans"/>
                <w:b w:val="0"/>
                <w:i w:val="0"/>
                <w:color w:val="000000"/>
                <w:sz w:val="18"/>
              </w:rPr>
              <w:t>Do not accept or assign rides from cache alone; show service unavailable/retry safely. Once recovered, workers reconcile deadlines and clients resync. Managed failover may interrupt active operations.</w:t>
            </w:r>
          </w:p>
        </w:tc>
        <w:tc>
          <w:tcPr>
            <w:tcW w:type="dxa" w:w="1656"/>
            <w:vAlign w:val="center"/>
            <w:shd w:fill="F1F5F9"/>
          </w:tcPr>
          <w:p>
            <w:pPr>
              <w:keepNext w:val="0"/>
              <w:spacing w:after="20" w:before="20" w:line="259" w:lineRule="auto"/>
            </w:pPr>
            <w:r>
              <w:rPr>
                <w:rFonts w:ascii="DejaVu Sans" w:hAnsi="DejaVu Sans"/>
                <w:b w:val="0"/>
                <w:i w:val="0"/>
                <w:color w:val="000000"/>
                <w:sz w:val="18"/>
              </w:rPr>
              <w:t>BR-12–22, NFR-07–08</w:t>
            </w:r>
          </w:p>
        </w:tc>
      </w:tr>
      <w:tr>
        <w:trPr>
          <w:cantSplit/>
        </w:trPr>
        <w:tc>
          <w:tcPr>
            <w:tcW w:type="dxa" w:w="2160"/>
            <w:vAlign w:val="center"/>
            <w:shd w:fill="FFFFFF"/>
          </w:tcPr>
          <w:p>
            <w:pPr>
              <w:keepNext w:val="0"/>
              <w:spacing w:after="20" w:before="20" w:line="259" w:lineRule="auto"/>
            </w:pPr>
            <w:r>
              <w:rPr>
                <w:rFonts w:ascii="DejaVu Sans" w:hAnsi="DejaVu Sans"/>
                <w:b w:val="0"/>
                <w:i w:val="0"/>
                <w:color w:val="000000"/>
                <w:sz w:val="18"/>
              </w:rPr>
              <w:t>Worker crash during offer expiry or notifications</w:t>
            </w:r>
          </w:p>
        </w:tc>
        <w:tc>
          <w:tcPr>
            <w:tcW w:type="dxa" w:w="6408"/>
            <w:vAlign w:val="center"/>
            <w:shd w:fill="FFFFFF"/>
          </w:tcPr>
          <w:p>
            <w:pPr>
              <w:keepNext w:val="0"/>
              <w:spacing w:after="20" w:before="20" w:line="259" w:lineRule="auto"/>
            </w:pPr>
            <w:r>
              <w:rPr>
                <w:rFonts w:ascii="DejaVu Sans" w:hAnsi="DejaVu Sans"/>
                <w:b w:val="0"/>
                <w:i w:val="0"/>
                <w:color w:val="000000"/>
                <w:sz w:val="18"/>
              </w:rPr>
              <w:t>Durable deadline and outbox rows are picked up by another worker; side effects are idempotent; close old offer before opening next.</w:t>
            </w:r>
          </w:p>
        </w:tc>
        <w:tc>
          <w:tcPr>
            <w:tcW w:type="dxa" w:w="1656"/>
            <w:vAlign w:val="center"/>
            <w:shd w:fill="FFFFFF"/>
          </w:tcPr>
          <w:p>
            <w:pPr>
              <w:keepNext w:val="0"/>
              <w:spacing w:after="20" w:before="20" w:line="259" w:lineRule="auto"/>
            </w:pPr>
            <w:r>
              <w:rPr>
                <w:rFonts w:ascii="DejaVu Sans" w:hAnsi="DejaVu Sans"/>
                <w:b w:val="0"/>
                <w:i w:val="0"/>
                <w:color w:val="000000"/>
                <w:sz w:val="18"/>
              </w:rPr>
              <w:t>BR-12–13, BR-17–18, NFR-07</w:t>
            </w:r>
          </w:p>
        </w:tc>
      </w:tr>
      <w:tr>
        <w:trPr>
          <w:cantSplit/>
        </w:trPr>
        <w:tc>
          <w:tcPr>
            <w:tcW w:type="dxa" w:w="2160"/>
            <w:vAlign w:val="center"/>
            <w:shd w:fill="F1F5F9"/>
          </w:tcPr>
          <w:p>
            <w:pPr>
              <w:keepNext w:val="0"/>
              <w:spacing w:after="20" w:before="20" w:line="259" w:lineRule="auto"/>
            </w:pPr>
            <w:r>
              <w:rPr>
                <w:rFonts w:ascii="DejaVu Sans" w:hAnsi="DejaVu Sans"/>
                <w:b w:val="0"/>
                <w:i w:val="0"/>
                <w:color w:val="000000"/>
                <w:sz w:val="18"/>
              </w:rPr>
              <w:t>Maps/translation provider outage</w:t>
            </w:r>
          </w:p>
        </w:tc>
        <w:tc>
          <w:tcPr>
            <w:tcW w:type="dxa" w:w="6408"/>
            <w:vAlign w:val="center"/>
            <w:shd w:fill="F1F5F9"/>
          </w:tcPr>
          <w:p>
            <w:pPr>
              <w:keepNext w:val="0"/>
              <w:spacing w:after="20" w:before="20" w:line="259" w:lineRule="auto"/>
            </w:pPr>
            <w:r>
              <w:rPr>
                <w:rFonts w:ascii="DejaVu Sans" w:hAnsi="DejaVu Sans"/>
                <w:b w:val="0"/>
                <w:i w:val="0"/>
                <w:color w:val="000000"/>
                <w:sz w:val="18"/>
              </w:rPr>
              <w:t>Existing trip status stays accessible; route/ETA or translation show a truthful unavailable state and controlled retry. Original chat remains readable.</w:t>
            </w:r>
          </w:p>
        </w:tc>
        <w:tc>
          <w:tcPr>
            <w:tcW w:type="dxa" w:w="1656"/>
            <w:vAlign w:val="center"/>
            <w:shd w:fill="F1F5F9"/>
          </w:tcPr>
          <w:p>
            <w:pPr>
              <w:keepNext w:val="0"/>
              <w:spacing w:after="20" w:before="20" w:line="259" w:lineRule="auto"/>
            </w:pPr>
            <w:r>
              <w:rPr>
                <w:rFonts w:ascii="DejaVu Sans" w:hAnsi="DejaVu Sans"/>
                <w:b w:val="0"/>
                <w:i w:val="0"/>
                <w:color w:val="000000"/>
                <w:sz w:val="18"/>
              </w:rPr>
              <w:t>BR-11, BR-21–22, BR-32, NFR-02, NFR-07</w:t>
            </w:r>
          </w:p>
        </w:tc>
      </w:tr>
      <w:tr>
        <w:trPr>
          <w:cantSplit/>
        </w:trPr>
        <w:tc>
          <w:tcPr>
            <w:tcW w:type="dxa" w:w="2160"/>
            <w:vAlign w:val="center"/>
            <w:shd w:fill="FFFFFF"/>
          </w:tcPr>
          <w:p>
            <w:pPr>
              <w:keepNext w:val="0"/>
              <w:spacing w:after="20" w:before="20" w:line="259" w:lineRule="auto"/>
            </w:pPr>
            <w:r>
              <w:rPr>
                <w:rFonts w:ascii="DejaVu Sans" w:hAnsi="DejaVu Sans"/>
                <w:b w:val="0"/>
                <w:i w:val="0"/>
                <w:color w:val="000000"/>
                <w:sz w:val="18"/>
              </w:rPr>
              <w:t>Support/SOS notification failure</w:t>
            </w:r>
          </w:p>
        </w:tc>
        <w:tc>
          <w:tcPr>
            <w:tcW w:type="dxa" w:w="6408"/>
            <w:vAlign w:val="center"/>
            <w:shd w:fill="FFFFFF"/>
          </w:tcPr>
          <w:p>
            <w:pPr>
              <w:keepNext w:val="0"/>
              <w:spacing w:after="20" w:before="20" w:line="259" w:lineRule="auto"/>
            </w:pPr>
            <w:r>
              <w:rPr>
                <w:rFonts w:ascii="DejaVu Sans" w:hAnsi="DejaVu Sans"/>
                <w:b w:val="0"/>
                <w:i w:val="0"/>
                <w:color w:val="000000"/>
                <w:sz w:val="18"/>
              </w:rPr>
              <w:t>Persist incident and delivery status; alert operations through independent available channels under an approved escalation policy. Do not falsely report successful emergency contact.</w:t>
            </w:r>
          </w:p>
        </w:tc>
        <w:tc>
          <w:tcPr>
            <w:tcW w:type="dxa" w:w="1656"/>
            <w:vAlign w:val="center"/>
            <w:shd w:fill="FFFFFF"/>
          </w:tcPr>
          <w:p>
            <w:pPr>
              <w:keepNext w:val="0"/>
              <w:spacing w:after="20" w:before="20" w:line="259" w:lineRule="auto"/>
            </w:pPr>
            <w:r>
              <w:rPr>
                <w:rFonts w:ascii="DejaVu Sans" w:hAnsi="DejaVu Sans"/>
                <w:b w:val="0"/>
                <w:i w:val="0"/>
                <w:color w:val="000000"/>
                <w:sz w:val="18"/>
              </w:rPr>
              <w:t>BR-33–37, NFR-07</w:t>
            </w:r>
          </w:p>
        </w:tc>
      </w:tr>
      <w:tr>
        <w:trPr>
          <w:cantSplit/>
        </w:trPr>
        <w:tc>
          <w:tcPr>
            <w:tcW w:type="dxa" w:w="2160"/>
            <w:vAlign w:val="center"/>
            <w:shd w:fill="F1F5F9"/>
          </w:tcPr>
          <w:p>
            <w:pPr>
              <w:keepNext w:val="0"/>
              <w:spacing w:after="20" w:before="20" w:line="259" w:lineRule="auto"/>
            </w:pPr>
            <w:r>
              <w:rPr>
                <w:rFonts w:ascii="DejaVu Sans" w:hAnsi="DejaVu Sans"/>
                <w:b w:val="0"/>
                <w:i w:val="0"/>
                <w:color w:val="000000"/>
                <w:sz w:val="18"/>
              </w:rPr>
              <w:t>Cash disputed or driver damage claim contested</w:t>
            </w:r>
          </w:p>
        </w:tc>
        <w:tc>
          <w:tcPr>
            <w:tcW w:type="dxa" w:w="6408"/>
            <w:vAlign w:val="center"/>
            <w:shd w:fill="F1F5F9"/>
          </w:tcPr>
          <w:p>
            <w:pPr>
              <w:keepNext w:val="0"/>
              <w:spacing w:after="20" w:before="20" w:line="259" w:lineRule="auto"/>
            </w:pPr>
            <w:r>
              <w:rPr>
                <w:rFonts w:ascii="DejaVu Sans" w:hAnsi="DejaVu Sans"/>
                <w:b w:val="0"/>
                <w:i w:val="0"/>
                <w:color w:val="000000"/>
                <w:sz w:val="18"/>
              </w:rPr>
              <w:t>Preserve reported collection/claim evidence and route to staff; no automatic rider charge or silent balance change.</w:t>
            </w:r>
          </w:p>
        </w:tc>
        <w:tc>
          <w:tcPr>
            <w:tcW w:type="dxa" w:w="1656"/>
            <w:vAlign w:val="center"/>
            <w:shd w:fill="F1F5F9"/>
          </w:tcPr>
          <w:p>
            <w:pPr>
              <w:keepNext w:val="0"/>
              <w:spacing w:after="20" w:before="20" w:line="259" w:lineRule="auto"/>
            </w:pPr>
            <w:r>
              <w:rPr>
                <w:rFonts w:ascii="DejaVu Sans" w:hAnsi="DejaVu Sans"/>
                <w:b w:val="0"/>
                <w:i w:val="0"/>
                <w:color w:val="000000"/>
                <w:sz w:val="18"/>
              </w:rPr>
              <w:t>BR-27, BR-47–49</w:t>
            </w:r>
          </w:p>
        </w:tc>
      </w:tr>
    </w:tbl>
    <w:p>
      <w:pPr>
        <w:spacing w:after="40"/>
      </w:pPr>
    </w:p>
    <w:p>
      <w:bookmarkStart w:id="1079" w:name="HLD_6"/>
      <w:pPr>
        <w:pStyle w:val="Heading1"/>
      </w:pPr>
      <w:r>
        <w:t>6 Security privacy and operational controls</w:t>
      </w:r>
      <w:bookmarkEnd w:id="1079"/>
    </w:p>
    <w:p>
      <w:r>
        <w:rPr>
          <w:rFonts w:ascii="DejaVu Sans" w:hAnsi="DejaVu Sans"/>
          <w:b/>
          <w:i w:val="0"/>
          <w:color w:val="000000"/>
        </w:rPr>
        <w:t>Authorization:</w:t>
      </w:r>
      <w:r>
        <w:rPr>
          <w:rFonts w:ascii="DejaVu Sans" w:hAnsi="DejaVu Sans"/>
          <w:b w:val="0"/>
          <w:i w:val="0"/>
          <w:color w:val="000000"/>
        </w:rPr>
        <w:t xml:space="preserve"> The backend enforces rider/driver ownership of a ride, offer, saved place, message, review, trusted contact, or support case on every request and WebSocket subscription. Admin roles are separate from customer roles; sensitive actions and evidence access are restricted and audited. Admin MFA is an HLD recommendation to confirm with the authentication decision. A driver approval change must invalidate eligibility for future offers immediately.</w:t>
      </w:r>
    </w:p>
    <w:p>
      <w:r>
        <w:rPr>
          <w:rFonts w:ascii="DejaVu Sans" w:hAnsi="DejaVu Sans"/>
          <w:b/>
          <w:i w:val="0"/>
          <w:color w:val="000000"/>
        </w:rPr>
        <w:t>Personal information:</w:t>
      </w:r>
      <w:r>
        <w:rPr>
          <w:rFonts w:ascii="DejaVu Sans" w:hAnsi="DejaVu Sans"/>
          <w:b w:val="0"/>
          <w:i w:val="0"/>
          <w:color w:val="000000"/>
        </w:rPr>
        <w:t xml:space="preserve"> Driver documents and case attachments are private objects, never public URLs. Backend-issued short-lived upload/download grants are bound to record/role, validated for content/size, scanned or quarantined according to approved operations, and revoked where practical. Phone numbers are exposed only under the approved confirmed-trip contact policy; a direct external call may reveal caller ID, so hiding the app button later does not retract a disclosed number. Saved places, precise locations, review identities, and SOS trusted contacts need explicit retention/deletion rules. Logs and analytics exclude message text, document bytes, precise address strings, phone numbers, and secrets unless incident access is specifically authorized.</w:t>
      </w:r>
    </w:p>
    <w:p>
      <w:r>
        <w:rPr>
          <w:rFonts w:ascii="DejaVu Sans" w:hAnsi="DejaVu Sans"/>
          <w:b/>
          <w:i w:val="0"/>
          <w:color w:val="000000"/>
        </w:rPr>
        <w:t>Trust boundaries:</w:t>
      </w:r>
      <w:r>
        <w:rPr>
          <w:rFonts w:ascii="DejaVu Sans" w:hAnsi="DejaVu Sans"/>
          <w:b w:val="0"/>
          <w:i w:val="0"/>
          <w:color w:val="000000"/>
        </w:rPr>
        <w:t xml:space="preserve"> TLS from apps/admin to edge and encrypted connections to data services; private networking for PostgreSQL/Redis; least-privilege service identities and object access; secrets held outside code; token/session rotation and revocation; bounded OTP/sign-in attempts once the authentication channel is chosen; input validation for locations, prices, upload metadata, messages, and admin configuration. Arbitrary admin-defined SOS actions must be constrained to reviewed registered integrations, not executable scripts or unrestricted URLs. Exact external regulatory requirements and retention periods require Lebanon-specific validation (BRS OD-09/11, NFR-10).</w:t>
      </w:r>
    </w:p>
    <w:p>
      <w:r>
        <w:rPr>
          <w:rFonts w:ascii="DejaVu Sans" w:hAnsi="DejaVu Sans"/>
          <w:b/>
          <w:i w:val="0"/>
          <w:color w:val="000000"/>
        </w:rPr>
        <w:t>Configuration changes:</w:t>
      </w:r>
      <w:r>
        <w:rPr>
          <w:rFonts w:ascii="DejaVu Sans" w:hAnsi="DejaVu Sans"/>
          <w:b w:val="0"/>
          <w:i w:val="0"/>
          <w:color w:val="000000"/>
        </w:rPr>
        <w:t xml:space="preserve"> Publish pricing, currency, service areas, vehicle categories, and SOS actions as versioned configurations with maker identity, validation, effective time, rollback path, and audit record. A ride snapshots the rules it agreed under. Existing trips are not reinterpreted when an admin changes currency or kilometre rates. Proposed publication workflow and approvals will be detailed in LLD after the business policy is chosen.</w:t>
      </w:r>
    </w:p>
    <w:p>
      <w:bookmarkStart w:id="1084" w:name="HLD_7"/>
      <w:pPr>
        <w:pStyle w:val="Heading1"/>
      </w:pPr>
      <w:r>
        <w:t>7 Runtime and deployment topology</w:t>
      </w:r>
      <w:bookmarkEnd w:id="1084"/>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872"/>
        <w:gridCol w:w="3600"/>
        <w:gridCol w:w="4752"/>
      </w:tblGrid>
      <w:tr>
        <w:trPr>
          <w:cantSplit/>
          <w:tblHeader/>
        </w:trPr>
        <w:tc>
          <w:tcPr>
            <w:tcW w:type="dxa" w:w="1872"/>
            <w:vAlign w:val="center"/>
            <w:shd w:fill="173A5E"/>
          </w:tcPr>
          <w:p>
            <w:pPr>
              <w:keepNext w:val="0"/>
              <w:spacing w:after="20" w:before="20" w:line="259" w:lineRule="auto"/>
            </w:pPr>
            <w:r>
              <w:rPr>
                <w:rFonts w:ascii="DejaVu Sans" w:hAnsi="DejaVu Sans"/>
                <w:b/>
                <w:i w:val="0"/>
                <w:color w:val="FFFFFF"/>
                <w:sz w:val="18"/>
              </w:rPr>
              <w:t>Tier</w:t>
            </w:r>
          </w:p>
        </w:tc>
        <w:tc>
          <w:tcPr>
            <w:tcW w:type="dxa" w:w="3600"/>
            <w:vAlign w:val="center"/>
            <w:shd w:fill="173A5E"/>
          </w:tcPr>
          <w:p>
            <w:pPr>
              <w:keepNext w:val="0"/>
              <w:spacing w:after="20" w:before="20" w:line="259" w:lineRule="auto"/>
            </w:pPr>
            <w:r>
              <w:rPr>
                <w:rFonts w:ascii="DejaVu Sans" w:hAnsi="DejaVu Sans"/>
                <w:b/>
                <w:i w:val="0"/>
                <w:color w:val="FFFFFF"/>
                <w:sz w:val="18"/>
              </w:rPr>
              <w:t>Proposed placement</w:t>
            </w:r>
          </w:p>
        </w:tc>
        <w:tc>
          <w:tcPr>
            <w:tcW w:type="dxa" w:w="4752"/>
            <w:vAlign w:val="center"/>
            <w:shd w:fill="173A5E"/>
          </w:tcPr>
          <w:p>
            <w:pPr>
              <w:keepNext w:val="0"/>
              <w:spacing w:after="20" w:before="20" w:line="259" w:lineRule="auto"/>
            </w:pPr>
            <w:r>
              <w:rPr>
                <w:rFonts w:ascii="DejaVu Sans" w:hAnsi="DejaVu Sans"/>
                <w:b/>
                <w:i w:val="0"/>
                <w:color w:val="FFFFFF"/>
                <w:sz w:val="18"/>
              </w:rPr>
              <w:t>Availability and operational note</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Mobile clients</w:t>
            </w:r>
          </w:p>
        </w:tc>
        <w:tc>
          <w:tcPr>
            <w:tcW w:type="dxa" w:w="3600"/>
            <w:vAlign w:val="center"/>
            <w:shd w:fill="FFFFFF"/>
          </w:tcPr>
          <w:p>
            <w:pPr>
              <w:keepNext w:val="0"/>
              <w:spacing w:after="20" w:before="20" w:line="259" w:lineRule="auto"/>
            </w:pPr>
            <w:r>
              <w:rPr>
                <w:rFonts w:ascii="DejaVu Sans" w:hAnsi="DejaVu Sans"/>
                <w:b w:val="0"/>
                <w:i w:val="0"/>
                <w:color w:val="000000"/>
                <w:sz w:val="18"/>
              </w:rPr>
              <w:t>Discrete Flutter rider and driver binaries for supported iOS/Android devices; adaptive tablet layouts.</w:t>
            </w:r>
          </w:p>
        </w:tc>
        <w:tc>
          <w:tcPr>
            <w:tcW w:type="dxa" w:w="4752"/>
            <w:vAlign w:val="center"/>
            <w:shd w:fill="FFFFFF"/>
          </w:tcPr>
          <w:p>
            <w:pPr>
              <w:keepNext w:val="0"/>
              <w:spacing w:after="20" w:before="20" w:line="259" w:lineRule="auto"/>
            </w:pPr>
            <w:r>
              <w:rPr>
                <w:rFonts w:ascii="DejaVu Sans" w:hAnsi="DejaVu Sans"/>
                <w:b w:val="0"/>
                <w:i w:val="0"/>
                <w:color w:val="000000"/>
                <w:sz w:val="18"/>
              </w:rPr>
              <w:t>Offline/reconnect behavior and background location tested on actual devices. Kiosk hardware/flow TBD.</w:t>
            </w:r>
          </w:p>
        </w:tc>
      </w:tr>
      <w:tr>
        <w:trPr>
          <w:cantSplit/>
        </w:trPr>
        <w:tc>
          <w:tcPr>
            <w:tcW w:type="dxa" w:w="1872"/>
            <w:vAlign w:val="center"/>
            <w:shd w:fill="F1F5F9"/>
          </w:tcPr>
          <w:p>
            <w:pPr>
              <w:keepNext w:val="0"/>
              <w:spacing w:after="20" w:before="20" w:line="259" w:lineRule="auto"/>
            </w:pPr>
            <w:r>
              <w:rPr>
                <w:rFonts w:ascii="DejaVu Sans" w:hAnsi="DejaVu Sans"/>
                <w:b w:val="0"/>
                <w:i w:val="0"/>
                <w:color w:val="000000"/>
                <w:sz w:val="18"/>
              </w:rPr>
              <w:t>Admin client</w:t>
            </w:r>
          </w:p>
        </w:tc>
        <w:tc>
          <w:tcPr>
            <w:tcW w:type="dxa" w:w="3600"/>
            <w:vAlign w:val="center"/>
            <w:shd w:fill="F1F5F9"/>
          </w:tcPr>
          <w:p>
            <w:pPr>
              <w:keepNext w:val="0"/>
              <w:spacing w:after="20" w:before="20" w:line="259" w:lineRule="auto"/>
            </w:pPr>
            <w:r>
              <w:rPr>
                <w:rFonts w:ascii="DejaVu Sans" w:hAnsi="DejaVu Sans"/>
                <w:b w:val="0"/>
                <w:i w:val="0"/>
                <w:color w:val="000000"/>
                <w:sz w:val="18"/>
              </w:rPr>
              <w:t>Responsive Next.js application over HTTPS.</w:t>
            </w:r>
          </w:p>
        </w:tc>
        <w:tc>
          <w:tcPr>
            <w:tcW w:type="dxa" w:w="4752"/>
            <w:vAlign w:val="center"/>
            <w:shd w:fill="F1F5F9"/>
          </w:tcPr>
          <w:p>
            <w:pPr>
              <w:keepNext w:val="0"/>
              <w:spacing w:after="20" w:before="20" w:line="259" w:lineRule="auto"/>
            </w:pPr>
            <w:r>
              <w:rPr>
                <w:rFonts w:ascii="DejaVu Sans" w:hAnsi="DejaVu Sans"/>
                <w:b w:val="0"/>
                <w:i w:val="0"/>
                <w:color w:val="000000"/>
                <w:sz w:val="18"/>
              </w:rPr>
              <w:t>Access restricted to authorized staff; no fake live data.</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Edge</w:t>
            </w:r>
          </w:p>
        </w:tc>
        <w:tc>
          <w:tcPr>
            <w:tcW w:type="dxa" w:w="3600"/>
            <w:vAlign w:val="center"/>
            <w:shd w:fill="FFFFFF"/>
          </w:tcPr>
          <w:p>
            <w:pPr>
              <w:keepNext w:val="0"/>
              <w:spacing w:after="20" w:before="20" w:line="259" w:lineRule="auto"/>
            </w:pPr>
            <w:r>
              <w:rPr>
                <w:rFonts w:ascii="DejaVu Sans" w:hAnsi="DejaVu Sans"/>
                <w:b w:val="0"/>
                <w:i w:val="0"/>
                <w:color w:val="000000"/>
                <w:sz w:val="18"/>
              </w:rPr>
              <w:t>Managed load balancer and API protection/rate limiting.</w:t>
            </w:r>
          </w:p>
        </w:tc>
        <w:tc>
          <w:tcPr>
            <w:tcW w:type="dxa" w:w="4752"/>
            <w:vAlign w:val="center"/>
            <w:shd w:fill="FFFFFF"/>
          </w:tcPr>
          <w:p>
            <w:pPr>
              <w:keepNext w:val="0"/>
              <w:spacing w:after="20" w:before="20" w:line="259" w:lineRule="auto"/>
            </w:pPr>
            <w:r>
              <w:rPr>
                <w:rFonts w:ascii="DejaVu Sans" w:hAnsi="DejaVu Sans"/>
                <w:b w:val="0"/>
                <w:i w:val="0"/>
                <w:color w:val="000000"/>
                <w:sz w:val="18"/>
              </w:rPr>
              <w:t>Routes HTTP and authenticated WebSocket sessions to healthy app tasks.</w:t>
            </w:r>
          </w:p>
        </w:tc>
      </w:tr>
      <w:tr>
        <w:trPr>
          <w:cantSplit/>
        </w:trPr>
        <w:tc>
          <w:tcPr>
            <w:tcW w:type="dxa" w:w="1872"/>
            <w:vAlign w:val="center"/>
            <w:shd w:fill="F1F5F9"/>
          </w:tcPr>
          <w:p>
            <w:pPr>
              <w:keepNext w:val="0"/>
              <w:spacing w:after="20" w:before="20" w:line="259" w:lineRule="auto"/>
            </w:pPr>
            <w:r>
              <w:rPr>
                <w:rFonts w:ascii="DejaVu Sans" w:hAnsi="DejaVu Sans"/>
                <w:b w:val="0"/>
                <w:i w:val="0"/>
                <w:color w:val="000000"/>
                <w:sz w:val="18"/>
              </w:rPr>
              <w:t>Backend</w:t>
            </w:r>
          </w:p>
        </w:tc>
        <w:tc>
          <w:tcPr>
            <w:tcW w:type="dxa" w:w="3600"/>
            <w:vAlign w:val="center"/>
            <w:shd w:fill="F1F5F9"/>
          </w:tcPr>
          <w:p>
            <w:pPr>
              <w:keepNext w:val="0"/>
              <w:spacing w:after="20" w:before="20" w:line="259" w:lineRule="auto"/>
            </w:pPr>
            <w:r>
              <w:rPr>
                <w:rFonts w:ascii="DejaVu Sans" w:hAnsi="DejaVu Sans"/>
                <w:b w:val="0"/>
                <w:i w:val="0"/>
                <w:color w:val="000000"/>
                <w:sz w:val="18"/>
              </w:rPr>
              <w:t>At least two stateless NestJS API/WebSocket tasks in separate availability zones; worker tasks separately scaled from the same codebase.</w:t>
            </w:r>
          </w:p>
        </w:tc>
        <w:tc>
          <w:tcPr>
            <w:tcW w:type="dxa" w:w="4752"/>
            <w:vAlign w:val="center"/>
            <w:shd w:fill="F1F5F9"/>
          </w:tcPr>
          <w:p>
            <w:pPr>
              <w:keepNext w:val="0"/>
              <w:spacing w:after="20" w:before="20" w:line="259" w:lineRule="auto"/>
            </w:pPr>
            <w:r>
              <w:rPr>
                <w:rFonts w:ascii="DejaVu Sans" w:hAnsi="DejaVu Sans"/>
                <w:b w:val="0"/>
                <w:i w:val="0"/>
                <w:color w:val="000000"/>
                <w:sz w:val="18"/>
              </w:rPr>
              <w:t>Health/readiness checks, rolling releases, connection drain and reconnect; no sticky ride ownership.</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Primary database</w:t>
            </w:r>
          </w:p>
        </w:tc>
        <w:tc>
          <w:tcPr>
            <w:tcW w:type="dxa" w:w="3600"/>
            <w:vAlign w:val="center"/>
            <w:shd w:fill="FFFFFF"/>
          </w:tcPr>
          <w:p>
            <w:pPr>
              <w:keepNext w:val="0"/>
              <w:spacing w:after="20" w:before="20" w:line="259" w:lineRule="auto"/>
            </w:pPr>
            <w:r>
              <w:rPr>
                <w:rFonts w:ascii="DejaVu Sans" w:hAnsi="DejaVu Sans"/>
                <w:b w:val="0"/>
                <w:i w:val="0"/>
                <w:color w:val="000000"/>
                <w:sz w:val="18"/>
              </w:rPr>
              <w:t>Managed PostgreSQL with PostGIS, Multi-AZ/standby, encrypted backup and point-in-time recovery where available.</w:t>
            </w:r>
          </w:p>
        </w:tc>
        <w:tc>
          <w:tcPr>
            <w:tcW w:type="dxa" w:w="4752"/>
            <w:vAlign w:val="center"/>
            <w:shd w:fill="FFFFFF"/>
          </w:tcPr>
          <w:p>
            <w:pPr>
              <w:keepNext w:val="0"/>
              <w:spacing w:after="20" w:before="20" w:line="259" w:lineRule="auto"/>
            </w:pPr>
            <w:r>
              <w:rPr>
                <w:rFonts w:ascii="DejaVu Sans" w:hAnsi="DejaVu Sans"/>
                <w:b w:val="0"/>
                <w:i w:val="0"/>
                <w:color w:val="000000"/>
                <w:sz w:val="18"/>
              </w:rPr>
              <w:t>Primary source of truth; size/region and backup objectives TBD. Failover still causes a visible write interruption.</w:t>
            </w:r>
          </w:p>
        </w:tc>
      </w:tr>
      <w:tr>
        <w:trPr>
          <w:cantSplit/>
        </w:trPr>
        <w:tc>
          <w:tcPr>
            <w:tcW w:type="dxa" w:w="1872"/>
            <w:vAlign w:val="center"/>
            <w:shd w:fill="F1F5F9"/>
          </w:tcPr>
          <w:p>
            <w:pPr>
              <w:keepNext w:val="0"/>
              <w:spacing w:after="20" w:before="20" w:line="259" w:lineRule="auto"/>
            </w:pPr>
            <w:r>
              <w:rPr>
                <w:rFonts w:ascii="DejaVu Sans" w:hAnsi="DejaVu Sans"/>
                <w:b w:val="0"/>
                <w:i w:val="0"/>
                <w:color w:val="000000"/>
                <w:sz w:val="18"/>
              </w:rPr>
              <w:t>Redis</w:t>
            </w:r>
          </w:p>
        </w:tc>
        <w:tc>
          <w:tcPr>
            <w:tcW w:type="dxa" w:w="3600"/>
            <w:vAlign w:val="center"/>
            <w:shd w:fill="F1F5F9"/>
          </w:tcPr>
          <w:p>
            <w:pPr>
              <w:keepNext w:val="0"/>
              <w:spacing w:after="20" w:before="20" w:line="259" w:lineRule="auto"/>
            </w:pPr>
            <w:r>
              <w:rPr>
                <w:rFonts w:ascii="DejaVu Sans" w:hAnsi="DejaVu Sans"/>
                <w:b w:val="0"/>
                <w:i w:val="0"/>
                <w:color w:val="000000"/>
                <w:sz w:val="18"/>
              </w:rPr>
              <w:t>Managed Redis with suitable failover; geo/presence and optional socket fan-out.</w:t>
            </w:r>
          </w:p>
        </w:tc>
        <w:tc>
          <w:tcPr>
            <w:tcW w:type="dxa" w:w="4752"/>
            <w:vAlign w:val="center"/>
            <w:shd w:fill="F1F5F9"/>
          </w:tcPr>
          <w:p>
            <w:pPr>
              <w:keepNext w:val="0"/>
              <w:spacing w:after="20" w:before="20" w:line="259" w:lineRule="auto"/>
            </w:pPr>
            <w:r>
              <w:rPr>
                <w:rFonts w:ascii="DejaVu Sans" w:hAnsi="DejaVu Sans"/>
                <w:b w:val="0"/>
                <w:i w:val="0"/>
                <w:color w:val="000000"/>
                <w:sz w:val="18"/>
              </w:rPr>
              <w:t>Data can be repopulated; no DB-truth fallback to Redis for assignments.</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File storage</w:t>
            </w:r>
          </w:p>
        </w:tc>
        <w:tc>
          <w:tcPr>
            <w:tcW w:type="dxa" w:w="3600"/>
            <w:vAlign w:val="center"/>
            <w:shd w:fill="FFFFFF"/>
          </w:tcPr>
          <w:p>
            <w:pPr>
              <w:keepNext w:val="0"/>
              <w:spacing w:after="20" w:before="20" w:line="259" w:lineRule="auto"/>
            </w:pPr>
            <w:r>
              <w:rPr>
                <w:rFonts w:ascii="DejaVu Sans" w:hAnsi="DejaVu Sans"/>
                <w:b w:val="0"/>
                <w:i w:val="0"/>
                <w:color w:val="000000"/>
                <w:sz w:val="18"/>
              </w:rPr>
              <w:t>Private encrypted S3-compatible object storage.</w:t>
            </w:r>
          </w:p>
        </w:tc>
        <w:tc>
          <w:tcPr>
            <w:tcW w:type="dxa" w:w="4752"/>
            <w:vAlign w:val="center"/>
            <w:shd w:fill="FFFFFF"/>
          </w:tcPr>
          <w:p>
            <w:pPr>
              <w:keepNext w:val="0"/>
              <w:spacing w:after="20" w:before="20" w:line="259" w:lineRule="auto"/>
            </w:pPr>
            <w:r>
              <w:rPr>
                <w:rFonts w:ascii="DejaVu Sans" w:hAnsi="DejaVu Sans"/>
                <w:b w:val="0"/>
                <w:i w:val="0"/>
                <w:color w:val="000000"/>
                <w:sz w:val="18"/>
              </w:rPr>
              <w:t>Signed uploads and restricted access; retention and scanning policy TBD.</w:t>
            </w:r>
          </w:p>
        </w:tc>
      </w:tr>
      <w:tr>
        <w:trPr>
          <w:cantSplit/>
        </w:trPr>
        <w:tc>
          <w:tcPr>
            <w:tcW w:type="dxa" w:w="1872"/>
            <w:vAlign w:val="center"/>
            <w:shd w:fill="F1F5F9"/>
          </w:tcPr>
          <w:p>
            <w:pPr>
              <w:keepNext w:val="0"/>
              <w:spacing w:after="20" w:before="20" w:line="259" w:lineRule="auto"/>
            </w:pPr>
            <w:r>
              <w:rPr>
                <w:rFonts w:ascii="DejaVu Sans" w:hAnsi="DejaVu Sans"/>
                <w:b w:val="0"/>
                <w:i w:val="0"/>
                <w:color w:val="000000"/>
                <w:sz w:val="18"/>
              </w:rPr>
              <w:t>Outside services</w:t>
            </w:r>
          </w:p>
        </w:tc>
        <w:tc>
          <w:tcPr>
            <w:tcW w:type="dxa" w:w="3600"/>
            <w:vAlign w:val="center"/>
            <w:shd w:fill="F1F5F9"/>
          </w:tcPr>
          <w:p>
            <w:pPr>
              <w:keepNext w:val="0"/>
              <w:spacing w:after="20" w:before="20" w:line="259" w:lineRule="auto"/>
            </w:pPr>
            <w:r>
              <w:rPr>
                <w:rFonts w:ascii="DejaVu Sans" w:hAnsi="DejaVu Sans"/>
                <w:b w:val="0"/>
                <w:i w:val="0"/>
                <w:color w:val="000000"/>
                <w:sz w:val="18"/>
              </w:rPr>
              <w:t>Map/geocode/route provider, FCM/APNs, translation, SMS/voice where approved.</w:t>
            </w:r>
          </w:p>
        </w:tc>
        <w:tc>
          <w:tcPr>
            <w:tcW w:type="dxa" w:w="4752"/>
            <w:vAlign w:val="center"/>
            <w:shd w:fill="F1F5F9"/>
          </w:tcPr>
          <w:p>
            <w:pPr>
              <w:keepNext w:val="0"/>
              <w:spacing w:after="20" w:before="20" w:line="259" w:lineRule="auto"/>
            </w:pPr>
            <w:r>
              <w:rPr>
                <w:rFonts w:ascii="DejaVu Sans" w:hAnsi="DejaVu Sans"/>
                <w:b w:val="0"/>
                <w:i w:val="0"/>
                <w:color w:val="000000"/>
                <w:sz w:val="18"/>
              </w:rPr>
              <w:t>Provider calls have timeouts, budgets, measured failure behavior, and status visibility.</w:t>
            </w:r>
          </w:p>
        </w:tc>
      </w:tr>
      <w:tr>
        <w:trPr>
          <w:cantSplit/>
        </w:trPr>
        <w:tc>
          <w:tcPr>
            <w:tcW w:type="dxa" w:w="1872"/>
            <w:vAlign w:val="center"/>
            <w:shd w:fill="FFFFFF"/>
          </w:tcPr>
          <w:p>
            <w:pPr>
              <w:keepNext w:val="0"/>
              <w:spacing w:after="20" w:before="20" w:line="259" w:lineRule="auto"/>
            </w:pPr>
            <w:r>
              <w:rPr>
                <w:rFonts w:ascii="DejaVu Sans" w:hAnsi="DejaVu Sans"/>
                <w:b w:val="0"/>
                <w:i w:val="0"/>
                <w:color w:val="000000"/>
                <w:sz w:val="18"/>
              </w:rPr>
              <w:t>Environments</w:t>
            </w:r>
          </w:p>
        </w:tc>
        <w:tc>
          <w:tcPr>
            <w:tcW w:type="dxa" w:w="3600"/>
            <w:vAlign w:val="center"/>
            <w:shd w:fill="FFFFFF"/>
          </w:tcPr>
          <w:p>
            <w:pPr>
              <w:keepNext w:val="0"/>
              <w:spacing w:after="20" w:before="20" w:line="259" w:lineRule="auto"/>
            </w:pPr>
            <w:r>
              <w:rPr>
                <w:rFonts w:ascii="DejaVu Sans" w:hAnsi="DejaVu Sans"/>
                <w:b w:val="0"/>
                <w:i w:val="0"/>
                <w:color w:val="000000"/>
                <w:sz w:val="18"/>
              </w:rPr>
              <w:t>Separate development, staging, production; infrastructure as code and gated CI/CD.</w:t>
            </w:r>
          </w:p>
        </w:tc>
        <w:tc>
          <w:tcPr>
            <w:tcW w:type="dxa" w:w="4752"/>
            <w:vAlign w:val="center"/>
            <w:shd w:fill="FFFFFF"/>
          </w:tcPr>
          <w:p>
            <w:pPr>
              <w:keepNext w:val="0"/>
              <w:spacing w:after="20" w:before="20" w:line="259" w:lineRule="auto"/>
            </w:pPr>
            <w:r>
              <w:rPr>
                <w:rFonts w:ascii="DejaVu Sans" w:hAnsi="DejaVu Sans"/>
                <w:b w:val="0"/>
                <w:i w:val="0"/>
                <w:color w:val="000000"/>
                <w:sz w:val="18"/>
              </w:rPr>
              <w:t>Public deployment, live payment enablement, and app publication require separate owner authorization.</w:t>
            </w:r>
          </w:p>
        </w:tc>
      </w:tr>
    </w:tbl>
    <w:p>
      <w:pPr>
        <w:spacing w:after="40"/>
      </w:pPr>
    </w:p>
    <w:p>
      <w:r>
        <w:rPr>
          <w:rFonts w:ascii="DejaVu Sans" w:hAnsi="DejaVu Sans"/>
          <w:b w:val="0"/>
          <w:i w:val="0"/>
          <w:color w:val="000000"/>
        </w:rPr>
        <w:t xml:space="preserve">AWS ECS/Fargate with managed PostgreSQL and Redis is a candidate, </w:t>
      </w:r>
      <w:r>
        <w:rPr>
          <w:rFonts w:ascii="DejaVu Sans" w:hAnsi="DejaVu Sans"/>
          <w:b/>
          <w:i w:val="0"/>
          <w:color w:val="000000"/>
        </w:rPr>
        <w:t>not a committed vendor or region</w:t>
      </w:r>
      <w:r>
        <w:rPr>
          <w:rFonts w:ascii="DejaVu Sans" w:hAnsi="DejaVu Sans"/>
          <w:b w:val="0"/>
          <w:i w:val="0"/>
          <w:color w:val="000000"/>
        </w:rPr>
        <w:t xml:space="preserve">. Confirm network latency, Lebanon-related data obligations, service availability and budget before selection. Multi-AZ database deployment provides a standby/failover path but does not promise instantaneous recovery. </w:t>
      </w:r>
      <w:hyperlink r:id="rId18">
        <w:r>
          <w:rPr>
            <w:rFonts w:ascii="DejaVu Sans" w:hAnsi="DejaVu Sans"/>
            <w:color w:val="1F4D78"/>
            <w:sz w:val="22"/>
          </w:rPr>
          <w:t>AWS RDS Multi-AZ documentation</w:t>
        </w:r>
      </w:hyperlink>
      <w:r>
        <w:rPr>
          <w:rFonts w:ascii="DejaVu Sans" w:hAnsi="DejaVu Sans"/>
          <w:b w:val="0"/>
          <w:i w:val="0"/>
          <w:color w:val="000000"/>
        </w:rPr>
        <w:t xml:space="preserve">, </w:t>
      </w:r>
      <w:hyperlink r:id="rId19">
        <w:r>
          <w:rPr>
            <w:rFonts w:ascii="DejaVu Sans" w:hAnsi="DejaVu Sans"/>
            <w:color w:val="1F4D78"/>
            <w:sz w:val="22"/>
          </w:rPr>
          <w:t>ECS availability-zone guidance</w:t>
        </w:r>
      </w:hyperlink>
      <w:r>
        <w:rPr>
          <w:rFonts w:ascii="DejaVu Sans" w:hAnsi="DejaVu Sans"/>
          <w:b w:val="0"/>
          <w:i w:val="0"/>
          <w:color w:val="000000"/>
        </w:rPr>
        <w:t>.</w:t>
      </w:r>
    </w:p>
    <w:p>
      <w:r>
        <w:rPr>
          <w:rFonts w:ascii="DejaVu Sans" w:hAnsi="DejaVu Sans"/>
          <w:b/>
          <w:i w:val="0"/>
          <w:color w:val="000000"/>
        </w:rPr>
        <w:t>WebSocket scaling:</w:t>
      </w:r>
      <w:r>
        <w:rPr>
          <w:rFonts w:ascii="DejaVu Sans" w:hAnsi="DejaVu Sans"/>
          <w:b w:val="0"/>
          <w:i w:val="0"/>
          <w:color w:val="000000"/>
        </w:rPr>
        <w:t xml:space="preserve"> multiple application tasks need a cross-task broadcast mechanism for chat/trip events (Redis adapter or equivalent). Delivery is best effort; durable records and </w:t>
      </w:r>
      <w:r>
        <w:rPr>
          <w:rFonts w:ascii="DejaVu Sans Mono" w:hAnsi="DejaVu Sans Mono"/>
          <w:b w:val="0"/>
          <w:i w:val="0"/>
          <w:color w:val="000000"/>
          <w:sz w:val="18"/>
        </w:rPr>
        <w:t>/​current-trip</w:t>
      </w:r>
      <w:r>
        <w:rPr>
          <w:rFonts w:ascii="DejaVu Sans" w:hAnsi="DejaVu Sans"/>
          <w:b w:val="0"/>
          <w:i w:val="0"/>
          <w:color w:val="000000"/>
        </w:rPr>
        <w:t xml:space="preserve"> / </w:t>
      </w:r>
      <w:r>
        <w:rPr>
          <w:rFonts w:ascii="DejaVu Sans Mono" w:hAnsi="DejaVu Sans Mono"/>
          <w:b w:val="0"/>
          <w:i w:val="0"/>
          <w:color w:val="000000"/>
          <w:sz w:val="18"/>
        </w:rPr>
        <w:t>/​current-offer</w:t>
      </w:r>
      <w:r>
        <w:rPr>
          <w:rFonts w:ascii="DejaVu Sans" w:hAnsi="DejaVu Sans"/>
          <w:b w:val="0"/>
          <w:i w:val="0"/>
          <w:color w:val="000000"/>
        </w:rPr>
        <w:t xml:space="preserve"> snapshot APIs are the recovery path. Socket.IO's Redis adapter currently does not support its built-in connection-state-recovery feature; Wasselne must not depend on that capability if this adapter is selected. </w:t>
      </w:r>
      <w:hyperlink r:id="rId20">
        <w:r>
          <w:rPr>
            <w:rFonts w:ascii="DejaVu Sans" w:hAnsi="DejaVu Sans"/>
            <w:color w:val="1F4D78"/>
            <w:sz w:val="22"/>
          </w:rPr>
          <w:t>Socket.IO Redis adapter documentation</w:t>
        </w:r>
      </w:hyperlink>
      <w:r>
        <w:rPr>
          <w:rFonts w:ascii="DejaVu Sans" w:hAnsi="DejaVu Sans"/>
          <w:b w:val="0"/>
          <w:i w:val="0"/>
          <w:color w:val="000000"/>
        </w:rPr>
        <w:t>.</w:t>
      </w:r>
    </w:p>
    <w:p>
      <w:bookmarkStart w:id="1089" w:name="HLD_8"/>
      <w:pPr>
        <w:pStyle w:val="Heading1"/>
      </w:pPr>
      <w:r>
        <w:t>8 Quality strategy and release evidence</w:t>
      </w:r>
      <w:bookmarkEnd w:id="1089"/>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5"/>
        <w:gridCol w:w="5515"/>
        <w:gridCol w:w="2664"/>
      </w:tblGrid>
      <w:tr>
        <w:trPr>
          <w:cantSplit/>
          <w:tblHeader/>
        </w:trPr>
        <w:tc>
          <w:tcPr>
            <w:tcW w:type="dxa" w:w="2045"/>
            <w:vAlign w:val="center"/>
            <w:shd w:fill="173A5E"/>
          </w:tcPr>
          <w:p>
            <w:pPr>
              <w:keepNext w:val="0"/>
              <w:spacing w:after="20" w:before="20" w:line="259" w:lineRule="auto"/>
            </w:pPr>
            <w:r>
              <w:rPr>
                <w:rFonts w:ascii="DejaVu Sans" w:hAnsi="DejaVu Sans"/>
                <w:b/>
                <w:i w:val="0"/>
                <w:color w:val="FFFFFF"/>
                <w:sz w:val="18"/>
              </w:rPr>
              <w:t>Quality concern</w:t>
            </w:r>
          </w:p>
        </w:tc>
        <w:tc>
          <w:tcPr>
            <w:tcW w:type="dxa" w:w="5515"/>
            <w:vAlign w:val="center"/>
            <w:shd w:fill="173A5E"/>
          </w:tcPr>
          <w:p>
            <w:pPr>
              <w:keepNext w:val="0"/>
              <w:spacing w:after="20" w:before="20" w:line="259" w:lineRule="auto"/>
            </w:pPr>
            <w:r>
              <w:rPr>
                <w:rFonts w:ascii="DejaVu Sans" w:hAnsi="DejaVu Sans"/>
                <w:b/>
                <w:i w:val="0"/>
                <w:color w:val="FFFFFF"/>
                <w:sz w:val="18"/>
              </w:rPr>
              <w:t>HLD control and evidence to require</w:t>
            </w:r>
          </w:p>
        </w:tc>
        <w:tc>
          <w:tcPr>
            <w:tcW w:type="dxa" w:w="2664"/>
            <w:vAlign w:val="center"/>
            <w:shd w:fill="173A5E"/>
          </w:tcPr>
          <w:p>
            <w:pPr>
              <w:keepNext w:val="0"/>
              <w:spacing w:after="20" w:before="20" w:line="259" w:lineRule="auto"/>
            </w:pPr>
            <w:r>
              <w:rPr>
                <w:rFonts w:ascii="DejaVu Sans" w:hAnsi="DejaVu Sans"/>
                <w:b/>
                <w:i w:val="0"/>
                <w:color w:val="FFFFFF"/>
                <w:sz w:val="18"/>
              </w:rPr>
              <w:t>Parent requirements</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Capacity</w:t>
            </w:r>
          </w:p>
        </w:tc>
        <w:tc>
          <w:tcPr>
            <w:tcW w:type="dxa" w:w="5515"/>
            <w:vAlign w:val="center"/>
            <w:shd w:fill="FFFFFF"/>
          </w:tcPr>
          <w:p>
            <w:pPr>
              <w:keepNext w:val="0"/>
              <w:spacing w:after="20" w:before="20" w:line="259" w:lineRule="auto"/>
            </w:pPr>
            <w:r>
              <w:rPr>
                <w:rFonts w:ascii="DejaVu Sans" w:hAnsi="DejaVu Sans"/>
                <w:b w:val="0"/>
                <w:i w:val="0"/>
                <w:color w:val="000000"/>
                <w:sz w:val="18"/>
              </w:rPr>
              <w:t>Measure hundreds of concurrent drivers/riders under realistic location frequency, websocket sessions, offers and map calls; size by test, not an assumed instance count beyond the HA minimum. Agree latency/error targets before production sizing.</w:t>
            </w:r>
          </w:p>
        </w:tc>
        <w:tc>
          <w:tcPr>
            <w:tcW w:type="dxa" w:w="2664"/>
            <w:vAlign w:val="center"/>
            <w:shd w:fill="FFFFFF"/>
          </w:tcPr>
          <w:p>
            <w:pPr>
              <w:keepNext w:val="0"/>
              <w:spacing w:after="20" w:before="20" w:line="259" w:lineRule="auto"/>
            </w:pPr>
            <w:r>
              <w:rPr>
                <w:rFonts w:ascii="DejaVu Sans" w:hAnsi="DejaVu Sans"/>
                <w:b w:val="0"/>
                <w:i w:val="0"/>
                <w:color w:val="000000"/>
                <w:sz w:val="18"/>
              </w:rPr>
              <w:t>NFR-01, BR-11–13</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Three-second sequential rule</w:t>
            </w:r>
          </w:p>
        </w:tc>
        <w:tc>
          <w:tcPr>
            <w:tcW w:type="dxa" w:w="5515"/>
            <w:vAlign w:val="center"/>
            <w:shd w:fill="F1F5F9"/>
          </w:tcPr>
          <w:p>
            <w:pPr>
              <w:keepNext w:val="0"/>
              <w:spacing w:after="20" w:before="20" w:line="259" w:lineRule="auto"/>
            </w:pPr>
            <w:r>
              <w:rPr>
                <w:rFonts w:ascii="DejaVu Sans" w:hAnsi="DejaVu Sans"/>
                <w:b w:val="0"/>
                <w:i w:val="0"/>
                <w:color w:val="000000"/>
                <w:sz w:val="18"/>
              </w:rPr>
              <w:t>Instrument offer created, app delivery ACK, active window start, expiry, accept, next-offer start and rejection reason. Test slow/background phones, push delays, concurrent backend tasks, expiry worker failover, late accept/retry, and no-other-driver reoffer.</w:t>
            </w:r>
          </w:p>
        </w:tc>
        <w:tc>
          <w:tcPr>
            <w:tcW w:type="dxa" w:w="2664"/>
            <w:vAlign w:val="center"/>
            <w:shd w:fill="F1F5F9"/>
          </w:tcPr>
          <w:p>
            <w:pPr>
              <w:keepNext w:val="0"/>
              <w:spacing w:after="20" w:before="20" w:line="259" w:lineRule="auto"/>
            </w:pPr>
            <w:r>
              <w:rPr>
                <w:rFonts w:ascii="DejaVu Sans" w:hAnsi="DejaVu Sans"/>
                <w:b w:val="0"/>
                <w:i w:val="0"/>
                <w:color w:val="000000"/>
                <w:sz w:val="18"/>
              </w:rPr>
              <w:t>BR-12–13, BR-16–18, NFR-12</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Live location</w:t>
            </w:r>
          </w:p>
        </w:tc>
        <w:tc>
          <w:tcPr>
            <w:tcW w:type="dxa" w:w="5515"/>
            <w:vAlign w:val="center"/>
            <w:shd w:fill="FFFFFF"/>
          </w:tcPr>
          <w:p>
            <w:pPr>
              <w:keepNext w:val="0"/>
              <w:spacing w:after="20" w:before="20" w:line="259" w:lineRule="auto"/>
            </w:pPr>
            <w:r>
              <w:rPr>
                <w:rFonts w:ascii="DejaVu Sans" w:hAnsi="DejaVu Sans"/>
                <w:b w:val="0"/>
                <w:i w:val="0"/>
                <w:color w:val="000000"/>
                <w:sz w:val="18"/>
              </w:rPr>
              <w:t>Test real Android/iOS background modes, permission revocation, device restarts, weak GPS, battery and loss/recovery of connection. Agree freshness and sampling thresholds.</w:t>
            </w:r>
          </w:p>
        </w:tc>
        <w:tc>
          <w:tcPr>
            <w:tcW w:type="dxa" w:w="2664"/>
            <w:vAlign w:val="center"/>
            <w:shd w:fill="FFFFFF"/>
          </w:tcPr>
          <w:p>
            <w:pPr>
              <w:keepNext w:val="0"/>
              <w:spacing w:after="20" w:before="20" w:line="259" w:lineRule="auto"/>
            </w:pPr>
            <w:r>
              <w:rPr>
                <w:rFonts w:ascii="DejaVu Sans" w:hAnsi="DejaVu Sans"/>
                <w:b w:val="0"/>
                <w:i w:val="0"/>
                <w:color w:val="000000"/>
                <w:sz w:val="18"/>
              </w:rPr>
              <w:t>BR-08, BR-11, BR-21–22, NFR-02–03</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Recovery</w:t>
            </w:r>
          </w:p>
        </w:tc>
        <w:tc>
          <w:tcPr>
            <w:tcW w:type="dxa" w:w="5515"/>
            <w:vAlign w:val="center"/>
            <w:shd w:fill="F1F5F9"/>
          </w:tcPr>
          <w:p>
            <w:pPr>
              <w:keepNext w:val="0"/>
              <w:spacing w:after="20" w:before="20" w:line="259" w:lineRule="auto"/>
            </w:pPr>
            <w:r>
              <w:rPr>
                <w:rFonts w:ascii="DejaVu Sans" w:hAnsi="DejaVu Sans"/>
                <w:b w:val="0"/>
                <w:i w:val="0"/>
                <w:color w:val="000000"/>
                <w:sz w:val="18"/>
              </w:rPr>
              <w:t>Perform staging DB failover/restore and Redis flush/restart; measure lost work and recovery. Backups alone are not evidence of a successful restore.</w:t>
            </w:r>
          </w:p>
        </w:tc>
        <w:tc>
          <w:tcPr>
            <w:tcW w:type="dxa" w:w="2664"/>
            <w:vAlign w:val="center"/>
            <w:shd w:fill="F1F5F9"/>
          </w:tcPr>
          <w:p>
            <w:pPr>
              <w:keepNext w:val="0"/>
              <w:spacing w:after="20" w:before="20" w:line="259" w:lineRule="auto"/>
            </w:pPr>
            <w:r>
              <w:rPr>
                <w:rFonts w:ascii="DejaVu Sans" w:hAnsi="DejaVu Sans"/>
                <w:b w:val="0"/>
                <w:i w:val="0"/>
                <w:color w:val="000000"/>
                <w:sz w:val="18"/>
              </w:rPr>
              <w:t>NFR-07–08</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Security/privacy</w:t>
            </w:r>
          </w:p>
        </w:tc>
        <w:tc>
          <w:tcPr>
            <w:tcW w:type="dxa" w:w="5515"/>
            <w:vAlign w:val="center"/>
            <w:shd w:fill="FFFFFF"/>
          </w:tcPr>
          <w:p>
            <w:pPr>
              <w:keepNext w:val="0"/>
              <w:spacing w:after="20" w:before="20" w:line="259" w:lineRule="auto"/>
            </w:pPr>
            <w:r>
              <w:rPr>
                <w:rFonts w:ascii="DejaVu Sans" w:hAnsi="DejaVu Sans"/>
                <w:b w:val="0"/>
                <w:i w:val="0"/>
                <w:color w:val="000000"/>
                <w:sz w:val="18"/>
              </w:rPr>
              <w:t>Validate object ownership, unauthorized room subscription, admin roles, saved-place access, phone display rules, expired documents, case evidence, SOS/trusted-contact consent, and log redaction.</w:t>
            </w:r>
          </w:p>
        </w:tc>
        <w:tc>
          <w:tcPr>
            <w:tcW w:type="dxa" w:w="2664"/>
            <w:vAlign w:val="center"/>
            <w:shd w:fill="FFFFFF"/>
          </w:tcPr>
          <w:p>
            <w:pPr>
              <w:keepNext w:val="0"/>
              <w:spacing w:after="20" w:before="20" w:line="259" w:lineRule="auto"/>
            </w:pPr>
            <w:r>
              <w:rPr>
                <w:rFonts w:ascii="DejaVu Sans" w:hAnsi="DejaVu Sans"/>
                <w:b w:val="0"/>
                <w:i w:val="0"/>
                <w:color w:val="000000"/>
                <w:sz w:val="18"/>
              </w:rPr>
              <w:t>NFR-04–05, NFR-09–10</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Product breadth</w:t>
            </w:r>
          </w:p>
        </w:tc>
        <w:tc>
          <w:tcPr>
            <w:tcW w:type="dxa" w:w="5515"/>
            <w:vAlign w:val="center"/>
            <w:shd w:fill="F1F5F9"/>
          </w:tcPr>
          <w:p>
            <w:pPr>
              <w:keepNext w:val="0"/>
              <w:spacing w:after="20" w:before="20" w:line="259" w:lineRule="auto"/>
            </w:pPr>
            <w:r>
              <w:rPr>
                <w:rFonts w:ascii="DejaVu Sans" w:hAnsi="DejaVu Sans"/>
                <w:b w:val="0"/>
                <w:i w:val="0"/>
                <w:color w:val="000000"/>
                <w:sz w:val="18"/>
              </w:rPr>
              <w:t>Run full car/motorcycle/tuk-tuk and zone journeys, CMS-set fare display to both parties, USD/LBP policy once set, cash, three languages/RTL, reviews both ways, lost property, damage, SOS choices, and responsive screens.</w:t>
            </w:r>
          </w:p>
        </w:tc>
        <w:tc>
          <w:tcPr>
            <w:tcW w:type="dxa" w:w="2664"/>
            <w:vAlign w:val="center"/>
            <w:shd w:fill="F1F5F9"/>
          </w:tcPr>
          <w:p>
            <w:pPr>
              <w:keepNext w:val="0"/>
              <w:spacing w:after="20" w:before="20" w:line="259" w:lineRule="auto"/>
            </w:pPr>
            <w:r>
              <w:rPr>
                <w:rFonts w:ascii="DejaVu Sans" w:hAnsi="DejaVu Sans"/>
                <w:b w:val="0"/>
                <w:i w:val="0"/>
                <w:color w:val="000000"/>
                <w:sz w:val="18"/>
              </w:rPr>
              <w:t>BR-01–49, NFR-06, NFR-11</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Observability</w:t>
            </w:r>
          </w:p>
        </w:tc>
        <w:tc>
          <w:tcPr>
            <w:tcW w:type="dxa" w:w="5515"/>
            <w:vAlign w:val="center"/>
            <w:shd w:fill="FFFFFF"/>
          </w:tcPr>
          <w:p>
            <w:pPr>
              <w:keepNext w:val="0"/>
              <w:spacing w:after="20" w:before="20" w:line="259" w:lineRule="auto"/>
            </w:pPr>
            <w:r>
              <w:rPr>
                <w:rFonts w:ascii="DejaVu Sans" w:hAnsi="DejaVu Sans"/>
                <w:b w:val="0"/>
                <w:i w:val="0"/>
                <w:color w:val="000000"/>
                <w:sz w:val="18"/>
              </w:rPr>
              <w:t>Dashboard/alerts for offer deadline and overlap violations, assignment integrity, stale GPS, reconnects, map/translation cost and errors, cash disputes, SOS delivery failures, support backlog and recovery.</w:t>
            </w:r>
          </w:p>
        </w:tc>
        <w:tc>
          <w:tcPr>
            <w:tcW w:type="dxa" w:w="2664"/>
            <w:vAlign w:val="center"/>
            <w:shd w:fill="FFFFFF"/>
          </w:tcPr>
          <w:p>
            <w:pPr>
              <w:keepNext w:val="0"/>
              <w:spacing w:after="20" w:before="20" w:line="259" w:lineRule="auto"/>
            </w:pPr>
            <w:r>
              <w:rPr>
                <w:rFonts w:ascii="DejaVu Sans" w:hAnsi="DejaVu Sans"/>
                <w:b w:val="0"/>
                <w:i w:val="0"/>
                <w:color w:val="000000"/>
                <w:sz w:val="18"/>
              </w:rPr>
              <w:t>NFR-01–03, NFR-07–08, NFR-12</w:t>
            </w:r>
          </w:p>
        </w:tc>
      </w:tr>
    </w:tbl>
    <w:p>
      <w:pPr>
        <w:spacing w:after="40"/>
      </w:pPr>
    </w:p>
    <w:p>
      <w:r>
        <w:rPr>
          <w:rFonts w:ascii="DejaVu Sans" w:hAnsi="DejaVu Sans"/>
          <w:b w:val="0"/>
          <w:i w:val="0"/>
          <w:color w:val="000000"/>
        </w:rPr>
        <w:t>For emergency actions, run an end-to-end staffed operational exercise before enabling any alert type. A configured button without a response process does not meet BR-36.</w:t>
      </w:r>
    </w:p>
    <w:p>
      <w:bookmarkStart w:id="1094" w:name="HLD_9"/>
      <w:pPr>
        <w:pStyle w:val="Heading1"/>
      </w:pPr>
      <w:r>
        <w:t>9 Requirements traceability matrix</w:t>
      </w:r>
      <w:bookmarkEnd w:id="1094"/>
    </w:p>
    <w:p>
      <w:r>
        <w:rPr>
          <w:rFonts w:ascii="DejaVu Sans" w:hAnsi="DejaVu Sans"/>
          <w:b w:val="0"/>
          <w:i w:val="0"/>
          <w:color w:val="000000"/>
        </w:rPr>
        <w:t>The matrix maps the business baseline through HLD components and the proposed LLD elements to planned verification cases. The component catalogue in section 2 maps each HLD element back to its parent requirements. LLD references identify the draft detailed design; they do not assert LLD approval or successful test execution.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843"/>
        <w:gridCol w:w="2362"/>
        <w:gridCol w:w="3571"/>
        <w:gridCol w:w="2448"/>
      </w:tblGrid>
      <w:tr>
        <w:trPr>
          <w:cantSplit/>
          <w:tblHeader/>
        </w:trPr>
        <w:tc>
          <w:tcPr>
            <w:tcW w:type="dxa" w:w="1843"/>
            <w:vAlign w:val="center"/>
            <w:shd w:fill="173A5E"/>
          </w:tcPr>
          <w:p>
            <w:pPr>
              <w:keepNext w:val="0"/>
              <w:spacing w:after="20" w:before="20" w:line="259" w:lineRule="auto"/>
            </w:pPr>
            <w:r>
              <w:rPr>
                <w:rFonts w:ascii="DejaVu Sans" w:hAnsi="DejaVu Sans"/>
                <w:b/>
                <w:i w:val="0"/>
                <w:color w:val="FFFFFF"/>
                <w:sz w:val="18"/>
              </w:rPr>
              <w:t>BRS requirement IDs</w:t>
            </w:r>
          </w:p>
        </w:tc>
        <w:tc>
          <w:tcPr>
            <w:tcW w:type="dxa" w:w="2362"/>
            <w:vAlign w:val="center"/>
            <w:shd w:fill="173A5E"/>
          </w:tcPr>
          <w:p>
            <w:pPr>
              <w:keepNext w:val="0"/>
              <w:spacing w:after="20" w:before="20" w:line="259" w:lineRule="auto"/>
            </w:pPr>
            <w:r>
              <w:rPr>
                <w:rFonts w:ascii="DejaVu Sans" w:hAnsi="DejaVu Sans"/>
                <w:b/>
                <w:i w:val="0"/>
                <w:color w:val="FFFFFF"/>
                <w:sz w:val="18"/>
              </w:rPr>
              <w:t>HLD elements</w:t>
            </w:r>
          </w:p>
        </w:tc>
        <w:tc>
          <w:tcPr>
            <w:tcW w:type="dxa" w:w="3571"/>
            <w:vAlign w:val="center"/>
            <w:shd w:fill="173A5E"/>
          </w:tcPr>
          <w:p>
            <w:pPr>
              <w:keepNext w:val="0"/>
              <w:spacing w:after="20" w:before="20" w:line="259" w:lineRule="auto"/>
            </w:pPr>
            <w:r>
              <w:rPr>
                <w:rFonts w:ascii="DejaVu Sans" w:hAnsi="DejaVu Sans"/>
                <w:b/>
                <w:i w:val="0"/>
                <w:color w:val="FFFFFF"/>
                <w:sz w:val="18"/>
              </w:rPr>
              <w:t>LLD elements / section</w:t>
            </w:r>
          </w:p>
        </w:tc>
        <w:tc>
          <w:tcPr>
            <w:tcW w:type="dxa" w:w="2448"/>
            <w:vAlign w:val="center"/>
            <w:shd w:fill="173A5E"/>
          </w:tcPr>
          <w:p>
            <w:pPr>
              <w:keepNext w:val="0"/>
              <w:spacing w:after="20" w:before="20" w:line="259" w:lineRule="auto"/>
            </w:pPr>
            <w:r>
              <w:rPr>
                <w:rFonts w:ascii="DejaVu Sans" w:hAnsi="DejaVu Sans"/>
                <w:b/>
                <w:i w:val="0"/>
                <w:color w:val="FFFFFF"/>
                <w:sz w:val="18"/>
              </w:rPr>
              <w:t>Planned verification</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BR-01–04, NFR-06</w:t>
            </w:r>
          </w:p>
        </w:tc>
        <w:tc>
          <w:tcPr>
            <w:tcW w:type="dxa" w:w="2362"/>
            <w:vAlign w:val="center"/>
            <w:shd w:fill="FFFFFF"/>
          </w:tcPr>
          <w:p>
            <w:pPr>
              <w:keepNext w:val="0"/>
              <w:spacing w:after="20" w:before="20" w:line="259" w:lineRule="auto"/>
            </w:pPr>
            <w:r>
              <w:rPr>
                <w:rFonts w:ascii="DejaVu Sans" w:hAnsi="DejaVu Sans"/>
                <w:b w:val="0"/>
                <w:i w:val="0"/>
                <w:color w:val="000000"/>
                <w:sz w:val="18"/>
              </w:rPr>
              <w:t>HLD-01–05, HLD-23</w:t>
            </w:r>
          </w:p>
        </w:tc>
        <w:tc>
          <w:tcPr>
            <w:tcW w:type="dxa" w:w="3571"/>
            <w:vAlign w:val="center"/>
            <w:shd w:fill="FFFFFF"/>
          </w:tcPr>
          <w:p>
            <w:pPr>
              <w:keepNext w:val="0"/>
              <w:spacing w:after="20" w:before="20" w:line="259" w:lineRule="auto"/>
            </w:pPr>
            <w:r>
              <w:rPr>
                <w:rFonts w:ascii="DejaVu Sans" w:hAnsi="DejaVu Sans"/>
                <w:b w:val="0"/>
                <w:i w:val="0"/>
                <w:color w:val="000000"/>
                <w:sz w:val="18"/>
              </w:rPr>
              <w:t>LLD-01–04; sections 5, 10</w:t>
            </w:r>
          </w:p>
        </w:tc>
        <w:tc>
          <w:tcPr>
            <w:tcW w:type="dxa" w:w="2448"/>
            <w:vAlign w:val="center"/>
            <w:shd w:fill="FFFFFF"/>
          </w:tcPr>
          <w:p>
            <w:pPr>
              <w:keepNext w:val="0"/>
              <w:spacing w:after="20" w:before="20" w:line="259" w:lineRule="auto"/>
            </w:pPr>
            <w:r>
              <w:rPr>
                <w:rFonts w:ascii="DejaVu Sans" w:hAnsi="DejaVu Sans"/>
                <w:b w:val="0"/>
                <w:i w:val="0"/>
                <w:color w:val="000000"/>
                <w:sz w:val="18"/>
              </w:rPr>
              <w:t>VT-01, VT-13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BR-05–08</w:t>
            </w:r>
          </w:p>
        </w:tc>
        <w:tc>
          <w:tcPr>
            <w:tcW w:type="dxa" w:w="2362"/>
            <w:vAlign w:val="center"/>
            <w:shd w:fill="F1F5F9"/>
          </w:tcPr>
          <w:p>
            <w:pPr>
              <w:keepNext w:val="0"/>
              <w:spacing w:after="20" w:before="20" w:line="259" w:lineRule="auto"/>
            </w:pPr>
            <w:r>
              <w:rPr>
                <w:rFonts w:ascii="DejaVu Sans" w:hAnsi="DejaVu Sans"/>
                <w:b w:val="0"/>
                <w:i w:val="0"/>
                <w:color w:val="000000"/>
                <w:sz w:val="18"/>
              </w:rPr>
              <w:t>HLD-02–03, HLD-05–06, HLD-08, HLD-19–21</w:t>
            </w:r>
          </w:p>
        </w:tc>
        <w:tc>
          <w:tcPr>
            <w:tcW w:type="dxa" w:w="3571"/>
            <w:vAlign w:val="center"/>
            <w:shd w:fill="F1F5F9"/>
          </w:tcPr>
          <w:p>
            <w:pPr>
              <w:keepNext w:val="0"/>
              <w:spacing w:after="20" w:before="20" w:line="259" w:lineRule="auto"/>
            </w:pPr>
            <w:r>
              <w:rPr>
                <w:rFonts w:ascii="DejaVu Sans" w:hAnsi="DejaVu Sans"/>
                <w:b w:val="0"/>
                <w:i w:val="0"/>
                <w:color w:val="000000"/>
                <w:sz w:val="18"/>
              </w:rPr>
              <w:t>LLD-02–06, LLD-09; sections 3, 7, 9–10</w:t>
            </w:r>
          </w:p>
        </w:tc>
        <w:tc>
          <w:tcPr>
            <w:tcW w:type="dxa" w:w="2448"/>
            <w:vAlign w:val="center"/>
            <w:shd w:fill="F1F5F9"/>
          </w:tcPr>
          <w:p>
            <w:pPr>
              <w:keepNext w:val="0"/>
              <w:spacing w:after="20" w:before="20" w:line="259" w:lineRule="auto"/>
            </w:pPr>
            <w:r>
              <w:rPr>
                <w:rFonts w:ascii="DejaVu Sans" w:hAnsi="DejaVu Sans"/>
                <w:b w:val="0"/>
                <w:i w:val="0"/>
                <w:color w:val="000000"/>
                <w:sz w:val="18"/>
              </w:rPr>
              <w:t>VT-02, VT-05</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BR-09–11</w:t>
            </w:r>
          </w:p>
        </w:tc>
        <w:tc>
          <w:tcPr>
            <w:tcW w:type="dxa" w:w="2362"/>
            <w:vAlign w:val="center"/>
            <w:shd w:fill="FFFFFF"/>
          </w:tcPr>
          <w:p>
            <w:pPr>
              <w:keepNext w:val="0"/>
              <w:spacing w:after="20" w:before="20" w:line="259" w:lineRule="auto"/>
            </w:pPr>
            <w:r>
              <w:rPr>
                <w:rFonts w:ascii="DejaVu Sans" w:hAnsi="DejaVu Sans"/>
                <w:b w:val="0"/>
                <w:i w:val="0"/>
                <w:color w:val="000000"/>
                <w:sz w:val="18"/>
              </w:rPr>
              <w:t>HLD-01, HLD-07–10, HLD-13, HLD-19–20</w:t>
            </w:r>
          </w:p>
        </w:tc>
        <w:tc>
          <w:tcPr>
            <w:tcW w:type="dxa" w:w="3571"/>
            <w:vAlign w:val="center"/>
            <w:shd w:fill="FFFFFF"/>
          </w:tcPr>
          <w:p>
            <w:pPr>
              <w:keepNext w:val="0"/>
              <w:spacing w:after="20" w:before="20" w:line="259" w:lineRule="auto"/>
            </w:pPr>
            <w:r>
              <w:rPr>
                <w:rFonts w:ascii="DejaVu Sans" w:hAnsi="DejaVu Sans"/>
                <w:b w:val="0"/>
                <w:i w:val="0"/>
                <w:color w:val="000000"/>
                <w:sz w:val="18"/>
              </w:rPr>
              <w:t>LLD-01, LLD-05–07, LLD-09; sections 3–5, 7</w:t>
            </w:r>
          </w:p>
        </w:tc>
        <w:tc>
          <w:tcPr>
            <w:tcW w:type="dxa" w:w="2448"/>
            <w:vAlign w:val="center"/>
            <w:shd w:fill="FFFFFF"/>
          </w:tcPr>
          <w:p>
            <w:pPr>
              <w:keepNext w:val="0"/>
              <w:spacing w:after="20" w:before="20" w:line="259" w:lineRule="auto"/>
            </w:pPr>
            <w:r>
              <w:rPr>
                <w:rFonts w:ascii="DejaVu Sans" w:hAnsi="DejaVu Sans"/>
                <w:b w:val="0"/>
                <w:i w:val="0"/>
                <w:color w:val="000000"/>
                <w:sz w:val="18"/>
              </w:rPr>
              <w:t>VT-03–05, VT-11</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BR-12–13, NFR-12</w:t>
            </w:r>
          </w:p>
        </w:tc>
        <w:tc>
          <w:tcPr>
            <w:tcW w:type="dxa" w:w="2362"/>
            <w:vAlign w:val="center"/>
            <w:shd w:fill="F1F5F9"/>
          </w:tcPr>
          <w:p>
            <w:pPr>
              <w:keepNext w:val="0"/>
              <w:spacing w:after="20" w:before="20" w:line="259" w:lineRule="auto"/>
            </w:pPr>
            <w:r>
              <w:rPr>
                <w:rFonts w:ascii="DejaVu Sans" w:hAnsi="DejaVu Sans"/>
                <w:b w:val="0"/>
                <w:i w:val="0"/>
                <w:color w:val="000000"/>
                <w:sz w:val="18"/>
              </w:rPr>
              <w:t>HLD-02, HLD-09, HLD-14, HLD-19, HLD-22–23</w:t>
            </w:r>
          </w:p>
        </w:tc>
        <w:tc>
          <w:tcPr>
            <w:tcW w:type="dxa" w:w="3571"/>
            <w:vAlign w:val="center"/>
            <w:shd w:fill="F1F5F9"/>
          </w:tcPr>
          <w:p>
            <w:pPr>
              <w:keepNext w:val="0"/>
              <w:spacing w:after="20" w:before="20" w:line="259" w:lineRule="auto"/>
            </w:pPr>
            <w:r>
              <w:rPr>
                <w:rFonts w:ascii="DejaVu Sans" w:hAnsi="DejaVu Sans"/>
                <w:b w:val="0"/>
                <w:i w:val="0"/>
                <w:color w:val="000000"/>
                <w:sz w:val="18"/>
              </w:rPr>
              <w:t>LLD-02, LLD-04, LLD-06, LLD-10; sections 3–6, 11</w:t>
            </w:r>
          </w:p>
        </w:tc>
        <w:tc>
          <w:tcPr>
            <w:tcW w:type="dxa" w:w="2448"/>
            <w:vAlign w:val="center"/>
            <w:shd w:fill="F1F5F9"/>
          </w:tcPr>
          <w:p>
            <w:pPr>
              <w:keepNext w:val="0"/>
              <w:spacing w:after="20" w:before="20" w:line="259" w:lineRule="auto"/>
            </w:pPr>
            <w:r>
              <w:rPr>
                <w:rFonts w:ascii="DejaVu Sans" w:hAnsi="DejaVu Sans"/>
                <w:b w:val="0"/>
                <w:i w:val="0"/>
                <w:color w:val="000000"/>
                <w:sz w:val="18"/>
              </w:rPr>
              <w:t>VT-06–09,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BR-14–16, BR-24–26</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HLD-09–11,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LLD-06–07; sections 3–5, 8</w:t>
            </w:r>
          </w:p>
        </w:tc>
        <w:tc>
          <w:tcPr>
            <w:tcW w:type="dxa" w:w="2448"/>
            <w:vAlign w:val="center"/>
            <w:shd w:fill="FFFFFF"/>
          </w:tcPr>
          <w:p>
            <w:pPr>
              <w:keepNext w:val="0"/>
              <w:spacing w:after="20" w:before="20" w:line="259" w:lineRule="auto"/>
            </w:pPr>
            <w:r>
              <w:rPr>
                <w:rFonts w:ascii="DejaVu Sans" w:hAnsi="DejaVu Sans"/>
                <w:b w:val="0"/>
                <w:i w:val="0"/>
                <w:color w:val="000000"/>
                <w:sz w:val="18"/>
              </w:rPr>
              <w:t>VT-06, VT-11</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BR-17–18</w:t>
            </w:r>
          </w:p>
        </w:tc>
        <w:tc>
          <w:tcPr>
            <w:tcW w:type="dxa" w:w="2362"/>
            <w:vAlign w:val="center"/>
            <w:shd w:fill="F1F5F9"/>
          </w:tcPr>
          <w:p>
            <w:pPr>
              <w:keepNext w:val="0"/>
              <w:spacing w:after="20" w:before="20" w:line="259" w:lineRule="auto"/>
            </w:pPr>
            <w:r>
              <w:rPr>
                <w:rFonts w:ascii="DejaVu Sans" w:hAnsi="DejaVu Sans"/>
                <w:b w:val="0"/>
                <w:i w:val="0"/>
                <w:color w:val="000000"/>
                <w:sz w:val="18"/>
              </w:rPr>
              <w:t>HLD-04, HLD-09–10, HLD-19, HLD-22</w:t>
            </w:r>
          </w:p>
        </w:tc>
        <w:tc>
          <w:tcPr>
            <w:tcW w:type="dxa" w:w="3571"/>
            <w:vAlign w:val="center"/>
            <w:shd w:fill="F1F5F9"/>
          </w:tcPr>
          <w:p>
            <w:pPr>
              <w:keepNext w:val="0"/>
              <w:spacing w:after="20" w:before="20" w:line="259" w:lineRule="auto"/>
            </w:pPr>
            <w:r>
              <w:rPr>
                <w:rFonts w:ascii="DejaVu Sans" w:hAnsi="DejaVu Sans"/>
                <w:b w:val="0"/>
                <w:i w:val="0"/>
                <w:color w:val="000000"/>
                <w:sz w:val="18"/>
              </w:rPr>
              <w:t>LLD-04, LLD-06–07, LLD-10; sections 3–5, 11</w:t>
            </w:r>
          </w:p>
        </w:tc>
        <w:tc>
          <w:tcPr>
            <w:tcW w:type="dxa" w:w="2448"/>
            <w:vAlign w:val="center"/>
            <w:shd w:fill="F1F5F9"/>
          </w:tcPr>
          <w:p>
            <w:pPr>
              <w:keepNext w:val="0"/>
              <w:spacing w:after="20" w:before="20" w:line="259" w:lineRule="auto"/>
            </w:pPr>
            <w:r>
              <w:rPr>
                <w:rFonts w:ascii="DejaVu Sans" w:hAnsi="DejaVu Sans"/>
                <w:b w:val="0"/>
                <w:i w:val="0"/>
                <w:color w:val="000000"/>
                <w:sz w:val="18"/>
              </w:rPr>
              <w:t>VT-08, VT-10</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BR-19–23, NFR-02–03</w:t>
            </w:r>
          </w:p>
        </w:tc>
        <w:tc>
          <w:tcPr>
            <w:tcW w:type="dxa" w:w="2362"/>
            <w:vAlign w:val="center"/>
            <w:shd w:fill="FFFFFF"/>
          </w:tcPr>
          <w:p>
            <w:pPr>
              <w:keepNext w:val="0"/>
              <w:spacing w:after="20" w:before="20" w:line="259" w:lineRule="auto"/>
            </w:pPr>
            <w:r>
              <w:rPr>
                <w:rFonts w:ascii="DejaVu Sans" w:hAnsi="DejaVu Sans"/>
                <w:b w:val="0"/>
                <w:i w:val="0"/>
                <w:color w:val="000000"/>
                <w:sz w:val="18"/>
              </w:rPr>
              <w:t>HLD-01–02, HLD-08–10, HLD-13–14, HLD-19–20</w:t>
            </w:r>
          </w:p>
        </w:tc>
        <w:tc>
          <w:tcPr>
            <w:tcW w:type="dxa" w:w="3571"/>
            <w:vAlign w:val="center"/>
            <w:shd w:fill="FFFFFF"/>
          </w:tcPr>
          <w:p>
            <w:pPr>
              <w:keepNext w:val="0"/>
              <w:spacing w:after="20" w:before="20" w:line="259" w:lineRule="auto"/>
            </w:pPr>
            <w:r>
              <w:rPr>
                <w:rFonts w:ascii="DejaVu Sans" w:hAnsi="DejaVu Sans"/>
                <w:b w:val="0"/>
                <w:i w:val="0"/>
                <w:color w:val="000000"/>
                <w:sz w:val="18"/>
              </w:rPr>
              <w:t>LLD-01–02, LLD-04, LLD-06–07, LLD-09; sections 4–7</w:t>
            </w:r>
          </w:p>
        </w:tc>
        <w:tc>
          <w:tcPr>
            <w:tcW w:type="dxa" w:w="2448"/>
            <w:vAlign w:val="center"/>
            <w:shd w:fill="FFFFFF"/>
          </w:tcPr>
          <w:p>
            <w:pPr>
              <w:keepNext w:val="0"/>
              <w:spacing w:after="20" w:before="20" w:line="259" w:lineRule="auto"/>
            </w:pPr>
            <w:r>
              <w:rPr>
                <w:rFonts w:ascii="DejaVu Sans" w:hAnsi="DejaVu Sans"/>
                <w:b w:val="0"/>
                <w:i w:val="0"/>
                <w:color w:val="000000"/>
                <w:sz w:val="18"/>
              </w:rPr>
              <w:t>VT-05, VT-10, VT-17</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BR-27–29</w:t>
            </w:r>
          </w:p>
        </w:tc>
        <w:tc>
          <w:tcPr>
            <w:tcW w:type="dxa" w:w="2362"/>
            <w:vAlign w:val="center"/>
            <w:shd w:fill="F1F5F9"/>
          </w:tcPr>
          <w:p>
            <w:pPr>
              <w:keepNext w:val="0"/>
              <w:spacing w:after="20" w:before="20" w:line="259" w:lineRule="auto"/>
            </w:pPr>
            <w:r>
              <w:rPr>
                <w:rFonts w:ascii="DejaVu Sans" w:hAnsi="DejaVu Sans"/>
                <w:b w:val="0"/>
                <w:i w:val="0"/>
                <w:color w:val="000000"/>
                <w:sz w:val="18"/>
              </w:rPr>
              <w:t>HLD-11–12, HLD-19</w:t>
            </w:r>
          </w:p>
        </w:tc>
        <w:tc>
          <w:tcPr>
            <w:tcW w:type="dxa" w:w="3571"/>
            <w:vAlign w:val="center"/>
            <w:shd w:fill="F1F5F9"/>
          </w:tcPr>
          <w:p>
            <w:pPr>
              <w:keepNext w:val="0"/>
              <w:spacing w:after="20" w:before="20" w:line="259" w:lineRule="auto"/>
            </w:pPr>
            <w:r>
              <w:rPr>
                <w:rFonts w:ascii="DejaVu Sans" w:hAnsi="DejaVu Sans"/>
                <w:b w:val="0"/>
                <w:i w:val="0"/>
                <w:color w:val="000000"/>
                <w:sz w:val="18"/>
              </w:rPr>
              <w:t>LLD-07, LLD-09; sections 3, 5, 8</w:t>
            </w:r>
          </w:p>
        </w:tc>
        <w:tc>
          <w:tcPr>
            <w:tcW w:type="dxa" w:w="2448"/>
            <w:vAlign w:val="center"/>
            <w:shd w:fill="F1F5F9"/>
          </w:tcPr>
          <w:p>
            <w:pPr>
              <w:keepNext w:val="0"/>
              <w:spacing w:after="20" w:before="20" w:line="259" w:lineRule="auto"/>
            </w:pPr>
            <w:r>
              <w:rPr>
                <w:rFonts w:ascii="DejaVu Sans" w:hAnsi="DejaVu Sans"/>
                <w:b w:val="0"/>
                <w:i w:val="0"/>
                <w:color w:val="000000"/>
                <w:sz w:val="18"/>
              </w:rPr>
              <w:t>VT-12</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BR-30–32</w:t>
            </w:r>
          </w:p>
        </w:tc>
        <w:tc>
          <w:tcPr>
            <w:tcW w:type="dxa" w:w="2362"/>
            <w:vAlign w:val="center"/>
            <w:shd w:fill="FFFFFF"/>
          </w:tcPr>
          <w:p>
            <w:pPr>
              <w:keepNext w:val="0"/>
              <w:spacing w:after="20" w:before="20" w:line="259" w:lineRule="auto"/>
            </w:pPr>
            <w:r>
              <w:rPr>
                <w:rFonts w:ascii="DejaVu Sans" w:hAnsi="DejaVu Sans"/>
                <w:b w:val="0"/>
                <w:i w:val="0"/>
                <w:color w:val="000000"/>
                <w:sz w:val="18"/>
              </w:rPr>
              <w:t>HLD-01–02, HLD-14–15,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LLD-01–02, LLD-04, LLD-08–09; sections 5–6, 9</w:t>
            </w:r>
          </w:p>
        </w:tc>
        <w:tc>
          <w:tcPr>
            <w:tcW w:type="dxa" w:w="2448"/>
            <w:vAlign w:val="center"/>
            <w:shd w:fill="FFFFFF"/>
          </w:tcPr>
          <w:p>
            <w:pPr>
              <w:keepNext w:val="0"/>
              <w:spacing w:after="20" w:before="20" w:line="259" w:lineRule="auto"/>
            </w:pPr>
            <w:r>
              <w:rPr>
                <w:rFonts w:ascii="DejaVu Sans" w:hAnsi="DejaVu Sans"/>
                <w:b w:val="0"/>
                <w:i w:val="0"/>
                <w:color w:val="000000"/>
                <w:sz w:val="18"/>
              </w:rPr>
              <w:t>VT-13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BR-33–37</w:t>
            </w:r>
          </w:p>
        </w:tc>
        <w:tc>
          <w:tcPr>
            <w:tcW w:type="dxa" w:w="2362"/>
            <w:vAlign w:val="center"/>
            <w:shd w:fill="F1F5F9"/>
          </w:tcPr>
          <w:p>
            <w:pPr>
              <w:keepNext w:val="0"/>
              <w:spacing w:after="20" w:before="20" w:line="259" w:lineRule="auto"/>
            </w:pPr>
            <w:r>
              <w:rPr>
                <w:rFonts w:ascii="DejaVu Sans" w:hAnsi="DejaVu Sans"/>
                <w:b w:val="0"/>
                <w:i w:val="0"/>
                <w:color w:val="000000"/>
                <w:sz w:val="18"/>
              </w:rPr>
              <w:t>HLD-01–03, HLD-14, HLD-16–17, HLD-19, HLD-22</w:t>
            </w:r>
          </w:p>
        </w:tc>
        <w:tc>
          <w:tcPr>
            <w:tcW w:type="dxa" w:w="3571"/>
            <w:vAlign w:val="center"/>
            <w:shd w:fill="F1F5F9"/>
          </w:tcPr>
          <w:p>
            <w:pPr>
              <w:keepNext w:val="0"/>
              <w:spacing w:after="20" w:before="20" w:line="259" w:lineRule="auto"/>
            </w:pPr>
            <w:r>
              <w:rPr>
                <w:rFonts w:ascii="DejaVu Sans" w:hAnsi="DejaVu Sans"/>
                <w:b w:val="0"/>
                <w:i w:val="0"/>
                <w:color w:val="000000"/>
                <w:sz w:val="18"/>
              </w:rPr>
              <w:t>LLD-01–03, LLD-08–10; sections 3, 5–6, 9–11</w:t>
            </w:r>
          </w:p>
        </w:tc>
        <w:tc>
          <w:tcPr>
            <w:tcW w:type="dxa" w:w="2448"/>
            <w:vAlign w:val="center"/>
            <w:shd w:fill="F1F5F9"/>
          </w:tcPr>
          <w:p>
            <w:pPr>
              <w:keepNext w:val="0"/>
              <w:spacing w:after="20" w:before="20" w:line="259" w:lineRule="auto"/>
            </w:pPr>
            <w:r>
              <w:rPr>
                <w:rFonts w:ascii="DejaVu Sans" w:hAnsi="DejaVu Sans"/>
                <w:b w:val="0"/>
                <w:i w:val="0"/>
                <w:color w:val="000000"/>
                <w:sz w:val="18"/>
              </w:rPr>
              <w:t>VT-14, VT-16</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BR-38–40</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HLD-18–19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LLD-08; sections 3, 5, 9–10</w:t>
            </w:r>
          </w:p>
        </w:tc>
        <w:tc>
          <w:tcPr>
            <w:tcW w:type="dxa" w:w="2448"/>
            <w:vAlign w:val="center"/>
            <w:shd w:fill="FFFFFF"/>
          </w:tcPr>
          <w:p>
            <w:pPr>
              <w:keepNext w:val="0"/>
              <w:spacing w:after="20" w:before="20" w:line="259" w:lineRule="auto"/>
            </w:pPr>
            <w:r>
              <w:rPr>
                <w:rFonts w:ascii="DejaVu Sans" w:hAnsi="DejaVu Sans"/>
                <w:b w:val="0"/>
                <w:i w:val="0"/>
                <w:color w:val="000000"/>
                <w:sz w:val="18"/>
              </w:rPr>
              <w:t>VT-15</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BR-41–44</w:t>
            </w:r>
          </w:p>
        </w:tc>
        <w:tc>
          <w:tcPr>
            <w:tcW w:type="dxa" w:w="2362"/>
            <w:vAlign w:val="center"/>
            <w:shd w:fill="F1F5F9"/>
          </w:tcPr>
          <w:p>
            <w:pPr>
              <w:keepNext w:val="0"/>
              <w:spacing w:after="20" w:before="20" w:line="259" w:lineRule="auto"/>
            </w:pPr>
            <w:r>
              <w:rPr>
                <w:rFonts w:ascii="DejaVu Sans" w:hAnsi="DejaVu Sans"/>
                <w:b w:val="0"/>
                <w:i w:val="0"/>
                <w:color w:val="000000"/>
                <w:sz w:val="18"/>
              </w:rPr>
              <w:t>HLD-03, HLD-06–07, HLD-11, HLD-17, HLD-19, HLD-23</w:t>
            </w:r>
          </w:p>
        </w:tc>
        <w:tc>
          <w:tcPr>
            <w:tcW w:type="dxa" w:w="3571"/>
            <w:vAlign w:val="center"/>
            <w:shd w:fill="F1F5F9"/>
          </w:tcPr>
          <w:p>
            <w:pPr>
              <w:keepNext w:val="0"/>
              <w:spacing w:after="20" w:before="20" w:line="259" w:lineRule="auto"/>
            </w:pPr>
            <w:r>
              <w:rPr>
                <w:rFonts w:ascii="DejaVu Sans" w:hAnsi="DejaVu Sans"/>
                <w:b w:val="0"/>
                <w:i w:val="0"/>
                <w:color w:val="000000"/>
                <w:sz w:val="18"/>
              </w:rPr>
              <w:t>LLD-03, LLD-05, LLD-07–08, LLD-10; sections 3, 8–11</w:t>
            </w:r>
          </w:p>
        </w:tc>
        <w:tc>
          <w:tcPr>
            <w:tcW w:type="dxa" w:w="2448"/>
            <w:vAlign w:val="center"/>
            <w:shd w:fill="F1F5F9"/>
          </w:tcPr>
          <w:p>
            <w:pPr>
              <w:keepNext w:val="0"/>
              <w:spacing w:after="20" w:before="20" w:line="259" w:lineRule="auto"/>
            </w:pPr>
            <w:r>
              <w:rPr>
                <w:rFonts w:ascii="DejaVu Sans" w:hAnsi="DejaVu Sans"/>
                <w:b w:val="0"/>
                <w:i w:val="0"/>
                <w:color w:val="000000"/>
                <w:sz w:val="18"/>
              </w:rPr>
              <w:t>VT-02–03, VT-11, VT-14</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BR-45</w:t>
            </w:r>
          </w:p>
        </w:tc>
        <w:tc>
          <w:tcPr>
            <w:tcW w:type="dxa" w:w="2362"/>
            <w:vAlign w:val="center"/>
            <w:shd w:fill="FFFFFF"/>
          </w:tcPr>
          <w:p>
            <w:pPr>
              <w:keepNext w:val="0"/>
              <w:spacing w:after="20" w:before="20" w:line="259" w:lineRule="auto"/>
            </w:pPr>
            <w:r>
              <w:rPr>
                <w:rFonts w:ascii="DejaVu Sans" w:hAnsi="DejaVu Sans"/>
                <w:b w:val="0"/>
                <w:i w:val="0"/>
                <w:color w:val="000000"/>
                <w:sz w:val="18"/>
              </w:rPr>
              <w:t>HLD-03, HLD-07,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LLD-03, LLD-05; sections 3, 7, 10</w:t>
            </w:r>
          </w:p>
        </w:tc>
        <w:tc>
          <w:tcPr>
            <w:tcW w:type="dxa" w:w="2448"/>
            <w:vAlign w:val="center"/>
            <w:shd w:fill="FFFFFF"/>
          </w:tcPr>
          <w:p>
            <w:pPr>
              <w:keepNext w:val="0"/>
              <w:spacing w:after="20" w:before="20" w:line="259" w:lineRule="auto"/>
            </w:pPr>
            <w:r>
              <w:rPr>
                <w:rFonts w:ascii="DejaVu Sans" w:hAnsi="DejaVu Sans"/>
                <w:b w:val="0"/>
                <w:i w:val="0"/>
                <w:color w:val="000000"/>
                <w:sz w:val="18"/>
              </w:rPr>
              <w:t>VT-03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BR-46</w:t>
            </w:r>
          </w:p>
        </w:tc>
        <w:tc>
          <w:tcPr>
            <w:tcW w:type="dxa" w:w="2362"/>
            <w:vAlign w:val="center"/>
            <w:shd w:fill="F1F5F9"/>
          </w:tcPr>
          <w:p>
            <w:pPr>
              <w:keepNext w:val="0"/>
              <w:spacing w:after="20" w:before="20" w:line="259" w:lineRule="auto"/>
            </w:pPr>
            <w:r>
              <w:rPr>
                <w:rFonts w:ascii="DejaVu Sans" w:hAnsi="DejaVu Sans"/>
                <w:b w:val="0"/>
                <w:i w:val="0"/>
                <w:color w:val="000000"/>
                <w:sz w:val="18"/>
              </w:rPr>
              <w:t>HLD-01, HLD-07, HLD-13, HLD-19</w:t>
            </w:r>
          </w:p>
        </w:tc>
        <w:tc>
          <w:tcPr>
            <w:tcW w:type="dxa" w:w="3571"/>
            <w:vAlign w:val="center"/>
            <w:shd w:fill="F1F5F9"/>
          </w:tcPr>
          <w:p>
            <w:pPr>
              <w:keepNext w:val="0"/>
              <w:spacing w:after="20" w:before="20" w:line="259" w:lineRule="auto"/>
            </w:pPr>
            <w:r>
              <w:rPr>
                <w:rFonts w:ascii="DejaVu Sans" w:hAnsi="DejaVu Sans"/>
                <w:b w:val="0"/>
                <w:i w:val="0"/>
                <w:color w:val="000000"/>
                <w:sz w:val="18"/>
              </w:rPr>
              <w:t>LLD-01, LLD-05, LLD-09; sections 3, 5, 7</w:t>
            </w:r>
          </w:p>
        </w:tc>
        <w:tc>
          <w:tcPr>
            <w:tcW w:type="dxa" w:w="2448"/>
            <w:vAlign w:val="center"/>
            <w:shd w:fill="F1F5F9"/>
          </w:tcPr>
          <w:p>
            <w:pPr>
              <w:keepNext w:val="0"/>
              <w:spacing w:after="20" w:before="20" w:line="259" w:lineRule="auto"/>
            </w:pPr>
            <w:r>
              <w:rPr>
                <w:rFonts w:ascii="DejaVu Sans" w:hAnsi="DejaVu Sans"/>
                <w:b w:val="0"/>
                <w:i w:val="0"/>
                <w:color w:val="000000"/>
                <w:sz w:val="18"/>
              </w:rPr>
              <w:t>VT-04</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BR-47–49</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HLD-16, HLD-19, HLD-21–22</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LLD-08–10; sections 3, 5, 9</w:t>
            </w:r>
          </w:p>
        </w:tc>
        <w:tc>
          <w:tcPr>
            <w:tcW w:type="dxa" w:w="2448"/>
            <w:vAlign w:val="center"/>
            <w:shd w:fill="FFFFFF"/>
          </w:tcPr>
          <w:p>
            <w:pPr>
              <w:keepNext w:val="0"/>
              <w:spacing w:after="20" w:before="20" w:line="259" w:lineRule="auto"/>
            </w:pPr>
            <w:r>
              <w:rPr>
                <w:rFonts w:ascii="DejaVu Sans" w:hAnsi="DejaVu Sans"/>
                <w:b w:val="0"/>
                <w:i w:val="0"/>
                <w:color w:val="000000"/>
                <w:sz w:val="18"/>
              </w:rPr>
              <w:t>VT-16</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NFR-01</w:t>
            </w:r>
          </w:p>
        </w:tc>
        <w:tc>
          <w:tcPr>
            <w:tcW w:type="dxa" w:w="2362"/>
            <w:vAlign w:val="center"/>
            <w:shd w:fill="F1F5F9"/>
          </w:tcPr>
          <w:p>
            <w:pPr>
              <w:keepNext w:val="0"/>
              <w:spacing w:after="20" w:before="20" w:line="259" w:lineRule="auto"/>
            </w:pPr>
            <w:r>
              <w:rPr>
                <w:rFonts w:ascii="DejaVu Sans" w:hAnsi="DejaVu Sans"/>
                <w:b w:val="0"/>
                <w:i w:val="0"/>
                <w:color w:val="000000"/>
                <w:sz w:val="18"/>
              </w:rPr>
              <w:t>HLD-04, HLD-08–09, HLD-13–14, HLD-20, HLD-23–24</w:t>
            </w:r>
          </w:p>
        </w:tc>
        <w:tc>
          <w:tcPr>
            <w:tcW w:type="dxa" w:w="3571"/>
            <w:vAlign w:val="center"/>
            <w:shd w:fill="F1F5F9"/>
          </w:tcPr>
          <w:p>
            <w:pPr>
              <w:keepNext w:val="0"/>
              <w:spacing w:after="20" w:before="20" w:line="259" w:lineRule="auto"/>
            </w:pPr>
            <w:r>
              <w:rPr>
                <w:rFonts w:ascii="DejaVu Sans" w:hAnsi="DejaVu Sans"/>
                <w:b w:val="0"/>
                <w:i w:val="0"/>
                <w:color w:val="000000"/>
                <w:sz w:val="18"/>
              </w:rPr>
              <w:t>LLD-04, LLD-06, LLD-09–10; sections 4, 7, 11</w:t>
            </w:r>
          </w:p>
        </w:tc>
        <w:tc>
          <w:tcPr>
            <w:tcW w:type="dxa" w:w="2448"/>
            <w:vAlign w:val="center"/>
            <w:shd w:fill="F1F5F9"/>
          </w:tcPr>
          <w:p>
            <w:pPr>
              <w:keepNext w:val="0"/>
              <w:spacing w:after="20" w:before="20" w:line="259" w:lineRule="auto"/>
            </w:pPr>
            <w:r>
              <w:rPr>
                <w:rFonts w:ascii="DejaVu Sans" w:hAnsi="DejaVu Sans"/>
                <w:b w:val="0"/>
                <w:i w:val="0"/>
                <w:color w:val="000000"/>
                <w:sz w:val="18"/>
              </w:rPr>
              <w:t>VT-08,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NFR-04–05</w:t>
            </w:r>
          </w:p>
        </w:tc>
        <w:tc>
          <w:tcPr>
            <w:tcW w:type="dxa" w:w="2362"/>
            <w:vAlign w:val="center"/>
            <w:shd w:fill="FFFFFF"/>
          </w:tcPr>
          <w:p>
            <w:pPr>
              <w:keepNext w:val="0"/>
              <w:spacing w:after="20" w:before="20" w:line="259" w:lineRule="auto"/>
            </w:pPr>
            <w:r>
              <w:rPr>
                <w:rFonts w:ascii="DejaVu Sans" w:hAnsi="DejaVu Sans"/>
                <w:b w:val="0"/>
                <w:i w:val="0"/>
                <w:color w:val="000000"/>
                <w:sz w:val="18"/>
              </w:rPr>
              <w:t>HLD-01–06, HLD-15–19, HLD-21, HLD-23–24</w:t>
            </w:r>
          </w:p>
        </w:tc>
        <w:tc>
          <w:tcPr>
            <w:tcW w:type="dxa" w:w="3571"/>
            <w:vAlign w:val="center"/>
            <w:shd w:fill="FFFFFF"/>
          </w:tcPr>
          <w:p>
            <w:pPr>
              <w:keepNext w:val="0"/>
              <w:spacing w:after="20" w:before="20" w:line="259" w:lineRule="auto"/>
            </w:pPr>
            <w:r>
              <w:rPr>
                <w:rFonts w:ascii="DejaVu Sans" w:hAnsi="DejaVu Sans"/>
                <w:b w:val="0"/>
                <w:i w:val="0"/>
                <w:color w:val="000000"/>
                <w:sz w:val="18"/>
              </w:rPr>
              <w:t>LLD-01–05, LLD-08–10; sections 3, 5, 9–11</w:t>
            </w:r>
          </w:p>
        </w:tc>
        <w:tc>
          <w:tcPr>
            <w:tcW w:type="dxa" w:w="2448"/>
            <w:vAlign w:val="center"/>
            <w:shd w:fill="FFFFFF"/>
          </w:tcPr>
          <w:p>
            <w:pPr>
              <w:keepNext w:val="0"/>
              <w:spacing w:after="20" w:before="20" w:line="259" w:lineRule="auto"/>
            </w:pPr>
            <w:r>
              <w:rPr>
                <w:rFonts w:ascii="DejaVu Sans" w:hAnsi="DejaVu Sans"/>
                <w:b w:val="0"/>
                <w:i w:val="0"/>
                <w:color w:val="000000"/>
                <w:sz w:val="18"/>
              </w:rPr>
              <w:t>VT-02, VT-13–16</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NFR-07–08</w:t>
            </w:r>
          </w:p>
        </w:tc>
        <w:tc>
          <w:tcPr>
            <w:tcW w:type="dxa" w:w="2362"/>
            <w:vAlign w:val="center"/>
            <w:shd w:fill="F1F5F9"/>
          </w:tcPr>
          <w:p>
            <w:pPr>
              <w:keepNext w:val="0"/>
              <w:spacing w:after="20" w:before="20" w:line="259" w:lineRule="auto"/>
            </w:pPr>
            <w:r>
              <w:rPr>
                <w:rFonts w:ascii="DejaVu Sans" w:hAnsi="DejaVu Sans"/>
                <w:b w:val="0"/>
                <w:i w:val="0"/>
                <w:color w:val="000000"/>
                <w:sz w:val="18"/>
              </w:rPr>
              <w:t>HLD-09–12, HLD-14, HLD-17, HLD-19, HLD-22–24</w:t>
            </w:r>
          </w:p>
        </w:tc>
        <w:tc>
          <w:tcPr>
            <w:tcW w:type="dxa" w:w="3571"/>
            <w:vAlign w:val="center"/>
            <w:shd w:fill="F1F5F9"/>
          </w:tcPr>
          <w:p>
            <w:pPr>
              <w:keepNext w:val="0"/>
              <w:spacing w:after="20" w:before="20" w:line="259" w:lineRule="auto"/>
            </w:pPr>
            <w:r>
              <w:rPr>
                <w:rFonts w:ascii="DejaVu Sans" w:hAnsi="DejaVu Sans"/>
                <w:b w:val="0"/>
                <w:i w:val="0"/>
                <w:color w:val="000000"/>
                <w:sz w:val="18"/>
              </w:rPr>
              <w:t>LLD-06–08, LLD-10; sections 3–4, 8–11</w:t>
            </w:r>
          </w:p>
        </w:tc>
        <w:tc>
          <w:tcPr>
            <w:tcW w:type="dxa" w:w="2448"/>
            <w:vAlign w:val="center"/>
            <w:shd w:fill="F1F5F9"/>
          </w:tcPr>
          <w:p>
            <w:pPr>
              <w:keepNext w:val="0"/>
              <w:spacing w:after="20" w:before="20" w:line="259" w:lineRule="auto"/>
            </w:pPr>
            <w:r>
              <w:rPr>
                <w:rFonts w:ascii="DejaVu Sans" w:hAnsi="DejaVu Sans"/>
                <w:b w:val="0"/>
                <w:i w:val="0"/>
                <w:color w:val="000000"/>
                <w:sz w:val="18"/>
              </w:rPr>
              <w:t>VT-07–08, VT-14,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NFR-09–10</w:t>
            </w:r>
          </w:p>
        </w:tc>
        <w:tc>
          <w:tcPr>
            <w:tcW w:type="dxa" w:w="2362"/>
            <w:vAlign w:val="center"/>
            <w:shd w:fill="FFFFFF"/>
          </w:tcPr>
          <w:p>
            <w:pPr>
              <w:keepNext w:val="0"/>
              <w:spacing w:after="20" w:before="20" w:line="259" w:lineRule="auto"/>
            </w:pPr>
            <w:r>
              <w:rPr>
                <w:rFonts w:ascii="DejaVu Sans" w:hAnsi="DejaVu Sans"/>
                <w:b w:val="0"/>
                <w:i w:val="0"/>
                <w:color w:val="000000"/>
                <w:sz w:val="18"/>
              </w:rPr>
              <w:t>HLD-03, HLD-05–07, HLD-11, HLD-17, HLD-23–24</w:t>
            </w:r>
          </w:p>
        </w:tc>
        <w:tc>
          <w:tcPr>
            <w:tcW w:type="dxa" w:w="3571"/>
            <w:vAlign w:val="center"/>
            <w:shd w:fill="FFFFFF"/>
          </w:tcPr>
          <w:p>
            <w:pPr>
              <w:keepNext w:val="0"/>
              <w:spacing w:after="20" w:before="20" w:line="259" w:lineRule="auto"/>
            </w:pPr>
            <w:r>
              <w:rPr>
                <w:rFonts w:ascii="DejaVu Sans" w:hAnsi="DejaVu Sans"/>
                <w:b w:val="0"/>
                <w:i w:val="0"/>
                <w:color w:val="000000"/>
                <w:sz w:val="18"/>
              </w:rPr>
              <w:t>LLD-03–05, LLD-07–10; sections 8–11</w:t>
            </w:r>
          </w:p>
        </w:tc>
        <w:tc>
          <w:tcPr>
            <w:tcW w:type="dxa" w:w="2448"/>
            <w:vAlign w:val="center"/>
            <w:shd w:fill="FFFFFF"/>
          </w:tcPr>
          <w:p>
            <w:pPr>
              <w:keepNext w:val="0"/>
              <w:spacing w:after="20" w:before="20" w:line="259" w:lineRule="auto"/>
            </w:pPr>
            <w:r>
              <w:rPr>
                <w:rFonts w:ascii="DejaVu Sans" w:hAnsi="DejaVu Sans"/>
                <w:b w:val="0"/>
                <w:i w:val="0"/>
                <w:color w:val="000000"/>
                <w:sz w:val="18"/>
              </w:rPr>
              <w:t>VT-02–03, VT-11, VT-14</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NFR-11</w:t>
            </w:r>
          </w:p>
        </w:tc>
        <w:tc>
          <w:tcPr>
            <w:tcW w:type="dxa" w:w="2362"/>
            <w:vAlign w:val="center"/>
            <w:shd w:fill="F1F5F9"/>
          </w:tcPr>
          <w:p>
            <w:pPr>
              <w:keepNext w:val="0"/>
              <w:spacing w:after="20" w:before="20" w:line="259" w:lineRule="auto"/>
            </w:pPr>
            <w:r>
              <w:rPr>
                <w:rFonts w:ascii="DejaVu Sans" w:hAnsi="DejaVu Sans"/>
                <w:b w:val="0"/>
                <w:i w:val="0"/>
                <w:color w:val="000000"/>
                <w:sz w:val="18"/>
              </w:rPr>
              <w:t>HLD-01–03, HLD-23</w:t>
            </w:r>
          </w:p>
        </w:tc>
        <w:tc>
          <w:tcPr>
            <w:tcW w:type="dxa" w:w="3571"/>
            <w:vAlign w:val="center"/>
            <w:shd w:fill="F1F5F9"/>
          </w:tcPr>
          <w:p>
            <w:pPr>
              <w:keepNext w:val="0"/>
              <w:spacing w:after="20" w:before="20" w:line="259" w:lineRule="auto"/>
            </w:pPr>
            <w:r>
              <w:rPr>
                <w:rFonts w:ascii="DejaVu Sans" w:hAnsi="DejaVu Sans"/>
                <w:b w:val="0"/>
                <w:i w:val="0"/>
                <w:color w:val="000000"/>
                <w:sz w:val="18"/>
              </w:rPr>
              <w:t>LLD-01–03; section 10</w:t>
            </w:r>
          </w:p>
        </w:tc>
        <w:tc>
          <w:tcPr>
            <w:tcW w:type="dxa" w:w="2448"/>
            <w:vAlign w:val="center"/>
            <w:shd w:fill="F1F5F9"/>
          </w:tcPr>
          <w:p>
            <w:pPr>
              <w:keepNext w:val="0"/>
              <w:spacing w:after="20" w:before="20" w:line="259" w:lineRule="auto"/>
            </w:pPr>
            <w:r>
              <w:rPr>
                <w:rFonts w:ascii="DejaVu Sans" w:hAnsi="DejaVu Sans"/>
                <w:b w:val="0"/>
                <w:i w:val="0"/>
                <w:color w:val="000000"/>
                <w:sz w:val="18"/>
              </w:rPr>
              <w:t>VT-01</w:t>
            </w:r>
          </w:p>
        </w:tc>
      </w:tr>
    </w:tbl>
    <w:p>
      <w:pPr>
        <w:spacing w:after="40"/>
      </w:pPr>
    </w:p>
    <w:p>
      <w:bookmarkStart w:id="1342" w:name="HLD_10"/>
      <w:pPr>
        <w:pStyle w:val="Heading1"/>
      </w:pPr>
      <w:r>
        <w:t>10 Open decisions and approval gate</w:t>
      </w:r>
      <w:bookmarkEnd w:id="1342"/>
    </w:p>
    <w:p>
      <w:r>
        <w:rPr>
          <w:rFonts w:ascii="DejaVu Sans" w:hAnsi="DejaVu Sans"/>
          <w:b w:val="0"/>
          <w:i w:val="0"/>
          <w:color w:val="000000"/>
        </w:rPr>
        <w:t>The BRS decision register remains in force except where the owner resolved OD-04 and OD-12: drivers do not propose fares, and app receipt acknowledgment starts the three-second window. The following remain consequential to LLD completion and implementation: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5"/>
        <w:gridCol w:w="5515"/>
        <w:gridCol w:w="2664"/>
      </w:tblGrid>
      <w:tr>
        <w:trPr>
          <w:cantSplit/>
          <w:tblHeader/>
        </w:trPr>
        <w:tc>
          <w:tcPr>
            <w:tcW w:type="dxa" w:w="2045"/>
            <w:vAlign w:val="center"/>
            <w:shd w:fill="173A5E"/>
          </w:tcPr>
          <w:p>
            <w:pPr>
              <w:keepNext w:val="0"/>
              <w:spacing w:after="20" w:before="20" w:line="259" w:lineRule="auto"/>
            </w:pPr>
            <w:r>
              <w:rPr>
                <w:rFonts w:ascii="DejaVu Sans" w:hAnsi="DejaVu Sans"/>
                <w:b/>
                <w:i w:val="0"/>
                <w:color w:val="FFFFFF"/>
                <w:sz w:val="18"/>
              </w:rPr>
              <w:t>Priority</w:t>
            </w:r>
          </w:p>
        </w:tc>
        <w:tc>
          <w:tcPr>
            <w:tcW w:type="dxa" w:w="5515"/>
            <w:vAlign w:val="center"/>
            <w:shd w:fill="173A5E"/>
          </w:tcPr>
          <w:p>
            <w:pPr>
              <w:keepNext w:val="0"/>
              <w:spacing w:after="20" w:before="20" w:line="259" w:lineRule="auto"/>
            </w:pPr>
            <w:r>
              <w:rPr>
                <w:rFonts w:ascii="DejaVu Sans" w:hAnsi="DejaVu Sans"/>
                <w:b/>
                <w:i w:val="0"/>
                <w:color w:val="FFFFFF"/>
                <w:sz w:val="18"/>
              </w:rPr>
              <w:t>Decision</w:t>
            </w:r>
          </w:p>
        </w:tc>
        <w:tc>
          <w:tcPr>
            <w:tcW w:type="dxa" w:w="2664"/>
            <w:vAlign w:val="center"/>
            <w:shd w:fill="173A5E"/>
          </w:tcPr>
          <w:p>
            <w:pPr>
              <w:keepNext w:val="0"/>
              <w:spacing w:after="20" w:before="20" w:line="259" w:lineRule="auto"/>
            </w:pPr>
            <w:r>
              <w:rPr>
                <w:rFonts w:ascii="DejaVu Sans" w:hAnsi="DejaVu Sans"/>
                <w:b/>
                <w:i w:val="0"/>
                <w:color w:val="FFFFFF"/>
                <w:sz w:val="18"/>
              </w:rPr>
              <w:t>HLD impact</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Critical</w:t>
            </w:r>
          </w:p>
        </w:tc>
        <w:tc>
          <w:tcPr>
            <w:tcW w:type="dxa" w:w="5515"/>
            <w:vAlign w:val="center"/>
            <w:shd w:fill="FFFFFF"/>
          </w:tcPr>
          <w:p>
            <w:pPr>
              <w:keepNext w:val="0"/>
              <w:spacing w:after="20" w:before="20" w:line="259" w:lineRule="auto"/>
            </w:pPr>
            <w:r>
              <w:rPr>
                <w:rFonts w:ascii="DejaVu Sans" w:hAnsi="DejaVu Sans"/>
                <w:b/>
                <w:i w:val="0"/>
                <w:color w:val="000000"/>
                <w:sz w:val="18"/>
              </w:rPr>
              <w:t>Acknowledgment delivery timeout and device eligibility:</w:t>
            </w:r>
            <w:r>
              <w:rPr>
                <w:rFonts w:ascii="DejaVu Sans" w:hAnsi="DejaVu Sans"/>
                <w:b w:val="0"/>
                <w:i w:val="0"/>
                <w:color w:val="000000"/>
                <w:sz w:val="18"/>
              </w:rPr>
              <w:t xml:space="preserve"> select the bounded time allowed to obtain a valid app acknowledgment; define which background/disconnected drivers remain offer-eligible. Three seconds then begin at the successful acknowledgment.</w:t>
            </w:r>
          </w:p>
        </w:tc>
        <w:tc>
          <w:tcPr>
            <w:tcW w:type="dxa" w:w="2664"/>
            <w:vAlign w:val="center"/>
            <w:shd w:fill="FFFFFF"/>
          </w:tcPr>
          <w:p>
            <w:pPr>
              <w:keepNext w:val="0"/>
              <w:spacing w:after="20" w:before="20" w:line="259" w:lineRule="auto"/>
            </w:pPr>
            <w:r>
              <w:rPr>
                <w:rFonts w:ascii="DejaVu Sans" w:hAnsi="DejaVu Sans"/>
                <w:b w:val="0"/>
                <w:i w:val="0"/>
                <w:color w:val="000000"/>
                <w:sz w:val="18"/>
              </w:rPr>
              <w:t>Offer state, timeout and fairness; app receipt is not proof a human saw the offer.</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High</w:t>
            </w:r>
          </w:p>
        </w:tc>
        <w:tc>
          <w:tcPr>
            <w:tcW w:type="dxa" w:w="5515"/>
            <w:vAlign w:val="center"/>
            <w:shd w:fill="F1F5F9"/>
          </w:tcPr>
          <w:p>
            <w:pPr>
              <w:keepNext w:val="0"/>
              <w:spacing w:after="20" w:before="20" w:line="259" w:lineRule="auto"/>
            </w:pPr>
            <w:r>
              <w:rPr>
                <w:rFonts w:ascii="DejaVu Sans" w:hAnsi="DejaVu Sans"/>
                <w:b/>
                <w:i w:val="0"/>
                <w:color w:val="000000"/>
                <w:sz w:val="18"/>
              </w:rPr>
              <w:t>Reoffer termination:</w:t>
            </w:r>
            <w:r>
              <w:rPr>
                <w:rFonts w:ascii="DejaVu Sans" w:hAnsi="DejaVu Sans"/>
                <w:b w:val="0"/>
                <w:i w:val="0"/>
                <w:color w:val="000000"/>
                <w:sz w:val="18"/>
              </w:rPr>
              <w:t xml:space="preserve"> maximum new three-second attempts per driver/request and total rider wait.</w:t>
            </w:r>
          </w:p>
        </w:tc>
        <w:tc>
          <w:tcPr>
            <w:tcW w:type="dxa" w:w="2664"/>
            <w:vAlign w:val="center"/>
            <w:shd w:fill="F1F5F9"/>
          </w:tcPr>
          <w:p>
            <w:pPr>
              <w:keepNext w:val="0"/>
              <w:spacing w:after="20" w:before="20" w:line="259" w:lineRule="auto"/>
            </w:pPr>
            <w:r>
              <w:rPr>
                <w:rFonts w:ascii="DejaVu Sans" w:hAnsi="DejaVu Sans"/>
                <w:b w:val="0"/>
                <w:i w:val="0"/>
                <w:color w:val="000000"/>
                <w:sz w:val="18"/>
              </w:rPr>
              <w:t>Prevents an infinite loop when there is only one eligible driver.</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High</w:t>
            </w:r>
          </w:p>
        </w:tc>
        <w:tc>
          <w:tcPr>
            <w:tcW w:type="dxa" w:w="5515"/>
            <w:vAlign w:val="center"/>
            <w:shd w:fill="FFFFFF"/>
          </w:tcPr>
          <w:p>
            <w:pPr>
              <w:keepNext w:val="0"/>
              <w:spacing w:after="20" w:before="20" w:line="259" w:lineRule="auto"/>
            </w:pPr>
            <w:r>
              <w:rPr>
                <w:rFonts w:ascii="DejaVu Sans" w:hAnsi="DejaVu Sans"/>
                <w:b w:val="0"/>
                <w:i w:val="0"/>
                <w:color w:val="000000"/>
                <w:sz w:val="18"/>
              </w:rPr>
              <w:t>Initial named-area activation, precise zone boundaries, vehicle/document eligibility.</w:t>
            </w:r>
          </w:p>
        </w:tc>
        <w:tc>
          <w:tcPr>
            <w:tcW w:type="dxa" w:w="2664"/>
            <w:vAlign w:val="center"/>
            <w:shd w:fill="FFFFFF"/>
          </w:tcPr>
          <w:p>
            <w:pPr>
              <w:keepNext w:val="0"/>
              <w:spacing w:after="20" w:before="20" w:line="259" w:lineRule="auto"/>
            </w:pPr>
            <w:r>
              <w:rPr>
                <w:rFonts w:ascii="DejaVu Sans" w:hAnsi="DejaVu Sans"/>
                <w:b w:val="0"/>
                <w:i w:val="0"/>
                <w:color w:val="000000"/>
                <w:sz w:val="18"/>
              </w:rPr>
              <w:t>Polygon and onboarding policy.</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High</w:t>
            </w:r>
          </w:p>
        </w:tc>
        <w:tc>
          <w:tcPr>
            <w:tcW w:type="dxa" w:w="5515"/>
            <w:vAlign w:val="center"/>
            <w:shd w:fill="F1F5F9"/>
          </w:tcPr>
          <w:p>
            <w:pPr>
              <w:keepNext w:val="0"/>
              <w:spacing w:after="20" w:before="20" w:line="259" w:lineRule="auto"/>
            </w:pPr>
            <w:r>
              <w:rPr>
                <w:rFonts w:ascii="DejaVu Sans" w:hAnsi="DejaVu Sans"/>
                <w:b w:val="0"/>
                <w:i w:val="0"/>
                <w:color w:val="000000"/>
                <w:sz w:val="18"/>
              </w:rPr>
              <w:t>USD/LBP pricing policy, detailed CMS tariff and applicable calculation options, cash/commission reconciliation.</w:t>
            </w:r>
          </w:p>
        </w:tc>
        <w:tc>
          <w:tcPr>
            <w:tcW w:type="dxa" w:w="2664"/>
            <w:vAlign w:val="center"/>
            <w:shd w:fill="F1F5F9"/>
          </w:tcPr>
          <w:p>
            <w:pPr>
              <w:keepNext w:val="0"/>
              <w:spacing w:after="20" w:before="20" w:line="259" w:lineRule="auto"/>
            </w:pPr>
            <w:r>
              <w:rPr>
                <w:rFonts w:ascii="DejaVu Sans" w:hAnsi="DejaVu Sans"/>
                <w:b w:val="0"/>
                <w:i w:val="0"/>
                <w:color w:val="000000"/>
                <w:sz w:val="18"/>
              </w:rPr>
              <w:t>Quote versioning, final fare and financial reporting.</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High</w:t>
            </w:r>
          </w:p>
        </w:tc>
        <w:tc>
          <w:tcPr>
            <w:tcW w:type="dxa" w:w="5515"/>
            <w:vAlign w:val="center"/>
            <w:shd w:fill="FFFFFF"/>
          </w:tcPr>
          <w:p>
            <w:pPr>
              <w:keepNext w:val="0"/>
              <w:spacing w:after="20" w:before="20" w:line="259" w:lineRule="auto"/>
            </w:pPr>
            <w:r>
              <w:rPr>
                <w:rFonts w:ascii="DejaVu Sans" w:hAnsi="DejaVu Sans"/>
                <w:b w:val="0"/>
                <w:i w:val="0"/>
                <w:color w:val="000000"/>
                <w:sz w:val="18"/>
              </w:rPr>
              <w:t>SOS responder, action channels, call destination, trusted-contact consent; lost-property/damage claims process.</w:t>
            </w:r>
          </w:p>
        </w:tc>
        <w:tc>
          <w:tcPr>
            <w:tcW w:type="dxa" w:w="2664"/>
            <w:vAlign w:val="center"/>
            <w:shd w:fill="FFFFFF"/>
          </w:tcPr>
          <w:p>
            <w:pPr>
              <w:keepNext w:val="0"/>
              <w:spacing w:after="20" w:before="20" w:line="259" w:lineRule="auto"/>
            </w:pPr>
            <w:r>
              <w:rPr>
                <w:rFonts w:ascii="DejaVu Sans" w:hAnsi="DejaVu Sans"/>
                <w:b w:val="0"/>
                <w:i w:val="0"/>
                <w:color w:val="000000"/>
                <w:sz w:val="18"/>
              </w:rPr>
              <w:t>Safety and support staffing and integrations.</w:t>
            </w:r>
          </w:p>
        </w:tc>
      </w:tr>
      <w:tr>
        <w:trPr>
          <w:cantSplit/>
        </w:trPr>
        <w:tc>
          <w:tcPr>
            <w:tcW w:type="dxa" w:w="2045"/>
            <w:vAlign w:val="center"/>
            <w:shd w:fill="F1F5F9"/>
          </w:tcPr>
          <w:p>
            <w:pPr>
              <w:keepNext w:val="0"/>
              <w:spacing w:after="20" w:before="20" w:line="259" w:lineRule="auto"/>
            </w:pPr>
            <w:r>
              <w:rPr>
                <w:rFonts w:ascii="DejaVu Sans" w:hAnsi="DejaVu Sans"/>
                <w:b w:val="0"/>
                <w:i w:val="0"/>
                <w:color w:val="000000"/>
                <w:sz w:val="18"/>
              </w:rPr>
              <w:t>High</w:t>
            </w:r>
          </w:p>
        </w:tc>
        <w:tc>
          <w:tcPr>
            <w:tcW w:type="dxa" w:w="5515"/>
            <w:vAlign w:val="center"/>
            <w:shd w:fill="F1F5F9"/>
          </w:tcPr>
          <w:p>
            <w:pPr>
              <w:keepNext w:val="0"/>
              <w:spacing w:after="20" w:before="20" w:line="259" w:lineRule="auto"/>
            </w:pPr>
            <w:r>
              <w:rPr>
                <w:rFonts w:ascii="DejaVu Sans" w:hAnsi="DejaVu Sans"/>
                <w:b w:val="0"/>
                <w:i w:val="0"/>
                <w:color w:val="000000"/>
                <w:sz w:val="18"/>
              </w:rPr>
              <w:t>Kiosk user journey/hardware and session security; authentication methods and phone disclosure lifetime.</w:t>
            </w:r>
          </w:p>
        </w:tc>
        <w:tc>
          <w:tcPr>
            <w:tcW w:type="dxa" w:w="2664"/>
            <w:vAlign w:val="center"/>
            <w:shd w:fill="F1F5F9"/>
          </w:tcPr>
          <w:p>
            <w:pPr>
              <w:keepNext w:val="0"/>
              <w:spacing w:after="20" w:before="20" w:line="259" w:lineRule="auto"/>
            </w:pPr>
            <w:r>
              <w:rPr>
                <w:rFonts w:ascii="DejaVu Sans" w:hAnsi="DejaVu Sans"/>
                <w:b w:val="0"/>
                <w:i w:val="0"/>
                <w:color w:val="000000"/>
                <w:sz w:val="18"/>
              </w:rPr>
              <w:t>Client surfaces and access boundaries.</w:t>
            </w:r>
          </w:p>
        </w:tc>
      </w:tr>
      <w:tr>
        <w:trPr>
          <w:cantSplit/>
        </w:trPr>
        <w:tc>
          <w:tcPr>
            <w:tcW w:type="dxa" w:w="2045"/>
            <w:vAlign w:val="center"/>
            <w:shd w:fill="FFFFFF"/>
          </w:tcPr>
          <w:p>
            <w:pPr>
              <w:keepNext w:val="0"/>
              <w:spacing w:after="20" w:before="20" w:line="259" w:lineRule="auto"/>
            </w:pPr>
            <w:r>
              <w:rPr>
                <w:rFonts w:ascii="DejaVu Sans" w:hAnsi="DejaVu Sans"/>
                <w:b w:val="0"/>
                <w:i w:val="0"/>
                <w:color w:val="000000"/>
                <w:sz w:val="18"/>
              </w:rPr>
              <w:t>High</w:t>
            </w:r>
          </w:p>
        </w:tc>
        <w:tc>
          <w:tcPr>
            <w:tcW w:type="dxa" w:w="5515"/>
            <w:vAlign w:val="center"/>
            <w:shd w:fill="FFFFFF"/>
          </w:tcPr>
          <w:p>
            <w:pPr>
              <w:keepNext w:val="0"/>
              <w:spacing w:after="20" w:before="20" w:line="259" w:lineRule="auto"/>
            </w:pPr>
            <w:r>
              <w:rPr>
                <w:rFonts w:ascii="DejaVu Sans" w:hAnsi="DejaVu Sans"/>
                <w:b w:val="0"/>
                <w:i w:val="0"/>
                <w:color w:val="000000"/>
                <w:sz w:val="18"/>
              </w:rPr>
              <w:t>Quantitative availability/latency, location freshness, recovery and retention targets; Lebanon-specific legal review.</w:t>
            </w:r>
          </w:p>
        </w:tc>
        <w:tc>
          <w:tcPr>
            <w:tcW w:type="dxa" w:w="2664"/>
            <w:vAlign w:val="center"/>
            <w:shd w:fill="FFFFFF"/>
          </w:tcPr>
          <w:p>
            <w:pPr>
              <w:keepNext w:val="0"/>
              <w:spacing w:after="20" w:before="20" w:line="259" w:lineRule="auto"/>
            </w:pPr>
            <w:r>
              <w:rPr>
                <w:rFonts w:ascii="DejaVu Sans" w:hAnsi="DejaVu Sans"/>
                <w:b w:val="0"/>
                <w:i w:val="0"/>
                <w:color w:val="000000"/>
                <w:sz w:val="18"/>
              </w:rPr>
              <w:t>Infrastructure sizing and release gates.</w:t>
            </w:r>
          </w:p>
        </w:tc>
      </w:tr>
    </w:tbl>
    <w:p>
      <w:pPr>
        <w:spacing w:after="40"/>
      </w:pPr>
    </w:p>
    <w:p>
      <w:r>
        <w:rPr>
          <w:rFonts w:ascii="DejaVu Sans" w:hAnsi="DejaVu Sans"/>
          <w:b/>
          <w:i w:val="0"/>
          <w:color w:val="000000"/>
        </w:rPr>
        <w:t>Approval/amendment record:</w:t>
      </w:r>
      <w:r>
        <w:rPr>
          <w:rFonts w:ascii="DejaVu Sans" w:hAnsi="DejaVu Sans"/>
          <w:b w:val="0"/>
          <w:i w:val="0"/>
          <w:color w:val="000000"/>
        </w:rPr>
        <w:t xml:space="preserve"> the owner approved the HLD and then clarified that receipt acknowledgment starts the three-second window and CMS alone sets fares. Those rules supersede the earlier draft's alternative clock and driver-proposed price. This Word edition includes companion diagrams and traceability to the LLD draft. LLD and diagram review remain pending. The documentation record does not authorize coding, deployment, provider contracting, activation of payment methods, or publication.</w:t>
      </w:r>
    </w:p>
    <w:p>
      <w:bookmarkStart w:id="1348" w:name="HLD_11"/>
      <w:pPr>
        <w:pStyle w:val="Heading1"/>
        <w:pageBreakBefore w:val="0"/>
      </w:pPr>
      <w:r>
        <w:t>Appendix A Architecture views</w:t>
      </w:r>
      <w:bookmarkEnd w:id="1348"/>
    </w:p>
    <w:p>
      <w:pPr>
        <w:keepNext/>
      </w:pPr>
      <w:r>
        <w:rPr>
          <w:rFonts w:ascii="DejaVu Sans" w:hAnsi="DejaVu Sans"/>
          <w:b w:val="0"/>
          <w:i w:val="0"/>
          <w:color w:val="000000"/>
          <w:sz w:val="19"/>
        </w:rPr>
        <w:t>The following rendered figures share their identifiers with the companion architecture diagram document.</w:t>
      </w:r>
    </w:p>
    <w:p>
      <w:pPr>
        <w:pStyle w:val="Heading2"/>
        <w:pageBreakBefore w:val="0"/>
      </w:pPr>
      <w:r>
        <w:t>D 02 Booking location and dispatch</w:t>
      </w:r>
    </w:p>
    <w:p>
      <w:pPr>
        <w:keepNext/>
        <w:spacing w:after="100"/>
        <w:jc w:val="center"/>
      </w:pPr>
      <w:r>
        <w:drawing>
          <wp:inline xmlns:a="http://schemas.openxmlformats.org/drawingml/2006/main" xmlns:pic="http://schemas.openxmlformats.org/drawingml/2006/picture">
            <wp:extent cx="6492240" cy="6121254"/>
            <wp:docPr id="1" name="Picture 1" descr="D-02 Booking location and dispatch"/>
            <wp:cNvGraphicFramePr>
              <a:graphicFrameLocks noChangeAspect="1"/>
            </wp:cNvGraphicFramePr>
            <a:graphic>
              <a:graphicData uri="http://schemas.openxmlformats.org/drawingml/2006/picture">
                <pic:pic>
                  <pic:nvPicPr>
                    <pic:cNvPr id="0" name="D-02.png"/>
                    <pic:cNvPicPr/>
                  </pic:nvPicPr>
                  <pic:blipFill>
                    <a:blip r:embed="rId21"/>
                    <a:stretch>
                      <a:fillRect/>
                    </a:stretch>
                  </pic:blipFill>
                  <pic:spPr>
                    <a:xfrm>
                      <a:off x="0" y="0"/>
                      <a:ext cx="6492240" cy="6121254"/>
                    </a:xfrm>
                    <a:prstGeom prst="rect"/>
                  </pic:spPr>
                </pic:pic>
              </a:graphicData>
            </a:graphic>
          </wp:inline>
        </w:drawing>
      </w:r>
    </w:p>
    <w:p>
      <w:r>
        <w:rPr>
          <w:rFonts w:ascii="DejaVu Sans" w:hAnsi="DejaVu Sans"/>
          <w:b w:val="0"/>
          <w:i w:val="0"/>
          <w:color w:val="000000"/>
          <w:sz w:val="19"/>
        </w:rPr>
        <w:t>Logical component boundaries for booking and exclusive offers. HLD-01–02, HLD-04, HLD-07–14, HLD-19–20, HLD-22.</w:t>
      </w:r>
    </w:p>
    <w:p>
      <w:pPr>
        <w:pStyle w:val="Heading2"/>
        <w:pageBreakBefore/>
      </w:pPr>
      <w:r>
        <w:t>D 03 Operations communication and safety</w:t>
      </w:r>
    </w:p>
    <w:p>
      <w:pPr>
        <w:keepNext/>
        <w:spacing w:after="100"/>
        <w:jc w:val="center"/>
      </w:pPr>
      <w:r>
        <w:drawing>
          <wp:inline xmlns:a="http://schemas.openxmlformats.org/drawingml/2006/main" xmlns:pic="http://schemas.openxmlformats.org/drawingml/2006/picture">
            <wp:extent cx="6492240" cy="5843016"/>
            <wp:docPr id="2" name="Picture 2" descr="D-03 Operations communication and safety"/>
            <wp:cNvGraphicFramePr>
              <a:graphicFrameLocks noChangeAspect="1"/>
            </wp:cNvGraphicFramePr>
            <a:graphic>
              <a:graphicData uri="http://schemas.openxmlformats.org/drawingml/2006/picture">
                <pic:pic>
                  <pic:nvPicPr>
                    <pic:cNvPr id="0" name="D-03.png"/>
                    <pic:cNvPicPr/>
                  </pic:nvPicPr>
                  <pic:blipFill>
                    <a:blip r:embed="rId22"/>
                    <a:stretch>
                      <a:fillRect/>
                    </a:stretch>
                  </pic:blipFill>
                  <pic:spPr>
                    <a:xfrm>
                      <a:off x="0" y="0"/>
                      <a:ext cx="6492240" cy="5843016"/>
                    </a:xfrm>
                    <a:prstGeom prst="rect"/>
                  </pic:spPr>
                </pic:pic>
              </a:graphicData>
            </a:graphic>
          </wp:inline>
        </w:drawing>
      </w:r>
    </w:p>
    <w:p>
      <w:r>
        <w:rPr>
          <w:rFonts w:ascii="DejaVu Sans" w:hAnsi="DejaVu Sans"/>
          <w:b w:val="0"/>
          <w:i w:val="0"/>
          <w:color w:val="000000"/>
          <w:sz w:val="19"/>
        </w:rPr>
        <w:t>Administrative and trip-scoped services. HLD-03, HLD-05–07, HLD-11, HLD-15–18, HLD-21, HLD-23.</w:t>
      </w:r>
    </w:p>
    <w:p>
      <w:pPr>
        <w:pStyle w:val="Heading2"/>
        <w:pageBreakBefore/>
      </w:pPr>
      <w:r>
        <w:t>D 04 Deployment and failure boundaries</w:t>
      </w:r>
    </w:p>
    <w:p>
      <w:pPr>
        <w:keepNext/>
        <w:spacing w:after="100"/>
        <w:jc w:val="center"/>
      </w:pPr>
      <w:r>
        <w:drawing>
          <wp:inline xmlns:a="http://schemas.openxmlformats.org/drawingml/2006/main" xmlns:pic="http://schemas.openxmlformats.org/drawingml/2006/picture">
            <wp:extent cx="6492240" cy="6492240"/>
            <wp:docPr id="3" name="Picture 3" descr="D-04 Deployment and failure boundaries"/>
            <wp:cNvGraphicFramePr>
              <a:graphicFrameLocks noChangeAspect="1"/>
            </wp:cNvGraphicFramePr>
            <a:graphic>
              <a:graphicData uri="http://schemas.openxmlformats.org/drawingml/2006/picture">
                <pic:pic>
                  <pic:nvPicPr>
                    <pic:cNvPr id="0" name="D-04.png"/>
                    <pic:cNvPicPr/>
                  </pic:nvPicPr>
                  <pic:blipFill>
                    <a:blip r:embed="rId23"/>
                    <a:stretch>
                      <a:fillRect/>
                    </a:stretch>
                  </pic:blipFill>
                  <pic:spPr>
                    <a:xfrm>
                      <a:off x="0" y="0"/>
                      <a:ext cx="6492240" cy="6492240"/>
                    </a:xfrm>
                    <a:prstGeom prst="rect"/>
                  </pic:spPr>
                </pic:pic>
              </a:graphicData>
            </a:graphic>
          </wp:inline>
        </w:drawing>
      </w:r>
    </w:p>
    <w:p>
      <w:r>
        <w:rPr>
          <w:rFonts w:ascii="DejaVu Sans" w:hAnsi="DejaVu Sans"/>
          <w:b w:val="0"/>
          <w:i w:val="0"/>
          <w:color w:val="000000"/>
          <w:sz w:val="19"/>
        </w:rPr>
        <w:t>Managed runtime roles across two availability zones. HLD-04, HLD-19–24; NFR-01–05, NFR-07–08.</w:t>
      </w:r>
    </w:p>
    <w:sectPr w:rsidR="00FC693F" w:rsidRPr="0006063C" w:rsidSect="00034616">
      <w:headerReference w:type="default" r:id="rId9"/>
      <w:footerReference w:type="default" r:id="rId10"/>
      <w:pgSz w:w="12240" w:h="15840"/>
      <w:pgMar w:top="950" w:right="1008" w:bottom="950"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b w:val="0"/>
        <w:i w:val="0"/>
        <w:color w:val="000000"/>
        <w:sz w:val="17"/>
      </w:rPr>
      <w:t xml:space="preserve">Page </w:t>
    </w:r>
    <w:r>
      <w:rPr>
        <w:rFonts w:ascii="DejaVu Sans" w:hAnsi="DejaVu Sans"/>
        <w:b w:val="0"/>
        <w:i w:val="0"/>
        <w:color w:val="000000"/>
        <w:sz w:val="17"/>
      </w:rPr>
      <w:fldChar w:fldCharType="begin"/>
      <w:instrText> PAGE </w:instrText>
      <w:fldChar w:fldCharType="end"/>
    </w:r>
    <w:r>
      <w:rPr>
        <w:rFonts w:ascii="DejaVu Sans" w:hAnsi="DejaVu Sans"/>
        <w:b w:val="0"/>
        <w:i w:val="0"/>
        <w:color w:val="000000"/>
        <w:sz w:val="17"/>
      </w:rPr>
      <w:t xml:space="preserve"> of </w:t>
    </w:r>
    <w:r>
      <w:rPr>
        <w:rFonts w:ascii="DejaVu Sans" w:hAnsi="DejaVu Sans"/>
        <w:b w:val="0"/>
        <w:i w:val="0"/>
        <w:color w:val="000000"/>
        <w:sz w:val="17"/>
      </w:rPr>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DejaVu Sans" w:hAnsi="DejaVu Sans"/>
        <w:b w:val="0"/>
        <w:i w:val="0"/>
        <w:color w:val="000000"/>
        <w:sz w:val="17"/>
      </w:rPr>
      <w:t>WASSELNE   High level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DejaVu Sans" w:hAnsi="DejaVu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ostgis.net/docs/ST_Covers.html" TargetMode="External"/><Relationship Id="rId12" Type="http://schemas.openxmlformats.org/officeDocument/2006/relationships/hyperlink" Target="https://redis.io/docs/latest/commands/geosearch/" TargetMode="External"/><Relationship Id="rId13" Type="http://schemas.openxmlformats.org/officeDocument/2006/relationships/hyperlink" Target="https://developer.android.com/develop/background-work/services/fgs/service-types" TargetMode="External"/><Relationship Id="rId14" Type="http://schemas.openxmlformats.org/officeDocument/2006/relationships/hyperlink" Target="https://developer.apple.com/documentation/corelocation/handling-location-updates-in-the-background" TargetMode="External"/><Relationship Id="rId15" Type="http://schemas.openxmlformats.org/officeDocument/2006/relationships/hyperlink" Target="https://www.postgresql.org/docs/current/indexes-partial.html" TargetMode="External"/><Relationship Id="rId16" Type="http://schemas.openxmlformats.org/officeDocument/2006/relationships/hyperlink" Target="https://firebase.google.com/docs/cloud-messaging/android-message-priority" TargetMode="External"/><Relationship Id="rId17" Type="http://schemas.openxmlformats.org/officeDocument/2006/relationships/hyperlink" Target="https://firebase.google.com/docs/cloud-messaging/android/receive-messages" TargetMode="External"/><Relationship Id="rId18" Type="http://schemas.openxmlformats.org/officeDocument/2006/relationships/hyperlink" Target="https://docs.aws.amazon.com/AmazonRDS/latest/UserGuide/Concepts.MultiAZSingleStandby.html" TargetMode="External"/><Relationship Id="rId19" Type="http://schemas.openxmlformats.org/officeDocument/2006/relationships/hyperlink" Target="https://docs.aws.amazon.com/AmazonECS/latest/developerguide/service-rebalancing.html" TargetMode="External"/><Relationship Id="rId20" Type="http://schemas.openxmlformats.org/officeDocument/2006/relationships/hyperlink" Target="https://socket.io/docs/v4/redis-adapter/"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Wasselne High level architecture</dc:title>
  <dc:subject>High level architecture</dc:subject>
  <dc:creator>Wasselne</dc:creator>
  <cp:keywords/>
  <dc:description/>
  <cp:lastModifiedBy/>
  <cp:revision>1</cp:revision>
  <dcterms:created xsi:type="dcterms:W3CDTF">2013-12-23T23:15:00Z</dcterms:created>
  <dcterms:modified xsi:type="dcterms:W3CDTF">2013-12-23T23:15:00Z</dcterms:modified>
  <cp:category/>
</cp:coreProperties>
</file>