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TopEndLibraryHub requirements</w:t>
      </w:r>
    </w:p>
    <w:p>
      <w:r/>
      <w:r>
        <w:t>Group 8   |   HIT339 Distributed Development   |   Updated 16 October 2026</w:t>
      </w:r>
    </w:p>
    <w:p>
      <w:r>
        <w:t>Version 0.8   Status Combined release and verification update</w:t>
      </w:r>
    </w:p>
    <w:p>
      <w:r>
        <w:t>We propose a family lending service for books, music and toys across three fictional demonstration branches: Darwin Hub, Palmerston Hub and Casuarina Hub. Families can search stock, queue for an unavailable item and collect it at a chosen branch. Staff can repair, transfer and lend that item without losing the queue order. Managers can trace borrowing, inventory condition and money received.</w:t>
      </w:r>
    </w:p>
    <w:p>
      <w:r>
        <w:t>This document defines the seven required expansions, our acceptance checks and the implementation decisions recorded to date. The assignment brief sets the required scope. Proposed additions and checks still awaiting evidence remain identified; a planned outcome is not treated as a completed result.</w:t>
      </w:r>
    </w:p>
    <w:p>
      <w:pPr>
        <w:pStyle w:val="Heading2"/>
        <w:keepNext/>
      </w:pPr>
      <w:r>
        <w:rPr>
          <w:color w:val="000000"/>
          <w:u w:val="none"/>
        </w:rPr>
        <w:t>Scope and proposed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696"/>
        <w:gridCol w:w="2592"/>
      </w:tblGrid>
      <w:tr>
        <w:trPr>
          <w:tblHeader w:val="true"/>
          <w:cantSplit/>
        </w:trPr>
        <w:tc>
          <w:tcPr>
            <w:tcW w:type="dxa" w:w="792"/>
            <w:vAlign w:val="center"/>
            <w:tcMar>
              <w:top w:w="90" w:type="dxa"/>
              <w:bottom w:w="90" w:type="dxa"/>
              <w:left w:w="90" w:type="dxa"/>
              <w:right w:w="90" w:type="dxa"/>
            </w:tcMar>
            <w:shd w:fill="23465F"/>
          </w:tcPr>
          <w:p>
            <w:pPr>
              <w:spacing w:before="0" w:after="40" w:line="240" w:lineRule="auto"/>
              <w:jc w:val="center"/>
            </w:pPr>
            <w:r>
              <w:rPr>
                <w:b/>
                <w:color w:val="FFFFFF"/>
                <w:sz w:val="20"/>
              </w:rPr>
              <w:t>ID</w:t>
            </w:r>
          </w:p>
        </w:tc>
        <w:tc>
          <w:tcPr>
            <w:tcW w:type="dxa" w:w="6696"/>
            <w:vAlign w:val="center"/>
            <w:tcMar>
              <w:top w:w="90" w:type="dxa"/>
              <w:bottom w:w="90" w:type="dxa"/>
              <w:left w:w="90" w:type="dxa"/>
              <w:right w:w="90" w:type="dxa"/>
            </w:tcMar>
            <w:shd w:fill="23465F"/>
          </w:tcPr>
          <w:p>
            <w:pPr>
              <w:spacing w:before="0" w:after="40" w:line="240" w:lineRule="auto"/>
            </w:pPr>
            <w:r>
              <w:rPr>
                <w:b/>
                <w:color w:val="FFFFFF"/>
                <w:sz w:val="20"/>
              </w:rPr>
              <w:t>Required module</w:t>
            </w:r>
          </w:p>
        </w:tc>
        <w:tc>
          <w:tcPr>
            <w:tcW w:type="dxa" w:w="2592"/>
            <w:vAlign w:val="center"/>
            <w:tcMar>
              <w:top w:w="90" w:type="dxa"/>
              <w:bottom w:w="90" w:type="dxa"/>
              <w:left w:w="90" w:type="dxa"/>
              <w:right w:w="90" w:type="dxa"/>
            </w:tcMar>
            <w:shd w:fill="23465F"/>
          </w:tcPr>
          <w:p>
            <w:pPr>
              <w:spacing w:before="0" w:after="40" w:line="240" w:lineRule="auto"/>
            </w:pPr>
            <w:r>
              <w:rPr>
                <w:b/>
                <w:color w:val="FFFFFF"/>
                <w:sz w:val="20"/>
              </w:rPr>
              <w:t>Proposed lead</w:t>
            </w:r>
          </w:p>
        </w:tc>
      </w:tr>
      <w:tr>
        <w:trPr>
          <w:cantSplit/>
        </w:trPr>
        <w:tc>
          <w:tcPr>
            <w:tcW w:type="dxa" w:w="792"/>
            <w:vAlign w:val="center"/>
            <w:tcMar>
              <w:top w:w="90" w:type="dxa"/>
              <w:bottom w:w="90" w:type="dxa"/>
              <w:left w:w="90" w:type="dxa"/>
              <w:right w:w="90" w:type="dxa"/>
            </w:tcMar>
            <w:shd w:fill="FFFFFF"/>
          </w:tcPr>
          <w:p>
            <w:pPr>
              <w:spacing w:before="0" w:after="40" w:line="240" w:lineRule="auto"/>
              <w:jc w:val="center"/>
            </w:pPr>
            <w:r>
              <w:rPr>
                <w:b w:val="0"/>
                <w:color w:val="000000"/>
                <w:sz w:val="20"/>
              </w:rPr>
              <w:t>R01</w:t>
            </w:r>
          </w:p>
        </w:tc>
        <w:tc>
          <w:tcPr>
            <w:tcW w:type="dxa" w:w="6696"/>
            <w:vAlign w:val="center"/>
            <w:tcMar>
              <w:top w:w="90" w:type="dxa"/>
              <w:bottom w:w="90" w:type="dxa"/>
              <w:left w:w="90" w:type="dxa"/>
              <w:right w:w="90" w:type="dxa"/>
            </w:tcMar>
            <w:shd w:fill="FFFFFF"/>
          </w:tcPr>
          <w:p>
            <w:pPr>
              <w:spacing w:before="0" w:after="40" w:line="240" w:lineRule="auto"/>
            </w:pPr>
            <w:r>
              <w:rPr>
                <w:b w:val="0"/>
                <w:color w:val="000000"/>
                <w:sz w:val="20"/>
              </w:rPr>
              <w:t>Dedicated touch friendly self service kiosk</w:t>
            </w:r>
          </w:p>
        </w:tc>
        <w:tc>
          <w:tcPr>
            <w:tcW w:type="dxa" w:w="2592"/>
            <w:vAlign w:val="center"/>
            <w:tcMar>
              <w:top w:w="90" w:type="dxa"/>
              <w:bottom w:w="90" w:type="dxa"/>
              <w:left w:w="90" w:type="dxa"/>
              <w:right w:w="90" w:type="dxa"/>
            </w:tcMar>
            <w:shd w:fill="FFFFFF"/>
          </w:tcPr>
          <w:p>
            <w:pPr>
              <w:spacing w:before="0" w:after="40" w:line="240" w:lineRule="auto"/>
            </w:pPr>
            <w:r>
              <w:rPr>
                <w:b w:val="0"/>
                <w:color w:val="000000"/>
                <w:sz w:val="20"/>
              </w:rPr>
              <w:t>Mehakpreet</w:t>
            </w:r>
          </w:p>
        </w:tc>
      </w:tr>
      <w:tr>
        <w:trPr>
          <w:cantSplit/>
        </w:trPr>
        <w:tc>
          <w:tcPr>
            <w:tcW w:type="dxa" w:w="792"/>
            <w:vAlign w:val="center"/>
            <w:tcMar>
              <w:top w:w="90" w:type="dxa"/>
              <w:bottom w:w="90" w:type="dxa"/>
              <w:left w:w="90" w:type="dxa"/>
              <w:right w:w="90" w:type="dxa"/>
            </w:tcMar>
            <w:shd w:fill="F1F4F6"/>
          </w:tcPr>
          <w:p>
            <w:pPr>
              <w:spacing w:before="0" w:after="40" w:line="240" w:lineRule="auto"/>
              <w:jc w:val="center"/>
            </w:pPr>
            <w:r>
              <w:rPr>
                <w:b w:val="0"/>
                <w:color w:val="000000"/>
                <w:sz w:val="20"/>
              </w:rPr>
              <w:t>R02</w:t>
            </w:r>
          </w:p>
        </w:tc>
        <w:tc>
          <w:tcPr>
            <w:tcW w:type="dxa" w:w="6696"/>
            <w:vAlign w:val="center"/>
            <w:tcMar>
              <w:top w:w="90" w:type="dxa"/>
              <w:bottom w:w="90" w:type="dxa"/>
              <w:left w:w="90" w:type="dxa"/>
              <w:right w:w="90" w:type="dxa"/>
            </w:tcMar>
            <w:shd w:fill="F1F4F6"/>
          </w:tcPr>
          <w:p>
            <w:pPr>
              <w:spacing w:before="0" w:after="40" w:line="240" w:lineRule="auto"/>
            </w:pPr>
            <w:r>
              <w:rPr>
                <w:b w:val="0"/>
                <w:color w:val="000000"/>
                <w:sz w:val="20"/>
              </w:rPr>
              <w:t>Secure read only catalogue API</w:t>
            </w:r>
          </w:p>
        </w:tc>
        <w:tc>
          <w:tcPr>
            <w:tcW w:type="dxa" w:w="2592"/>
            <w:vAlign w:val="center"/>
            <w:tcMar>
              <w:top w:w="90" w:type="dxa"/>
              <w:bottom w:w="90" w:type="dxa"/>
              <w:left w:w="90" w:type="dxa"/>
              <w:right w:w="90" w:type="dxa"/>
            </w:tcMar>
            <w:shd w:fill="F1F4F6"/>
          </w:tcPr>
          <w:p>
            <w:pPr>
              <w:spacing w:before="0" w:after="40" w:line="240" w:lineRule="auto"/>
            </w:pPr>
            <w:r>
              <w:rPr>
                <w:b w:val="0"/>
                <w:color w:val="000000"/>
                <w:sz w:val="20"/>
              </w:rPr>
              <w:t>Mehakpreet</w:t>
            </w:r>
          </w:p>
        </w:tc>
      </w:tr>
      <w:tr>
        <w:trPr>
          <w:cantSplit/>
        </w:trPr>
        <w:tc>
          <w:tcPr>
            <w:tcW w:type="dxa" w:w="792"/>
            <w:vAlign w:val="center"/>
            <w:tcMar>
              <w:top w:w="90" w:type="dxa"/>
              <w:bottom w:w="90" w:type="dxa"/>
              <w:left w:w="90" w:type="dxa"/>
              <w:right w:w="90" w:type="dxa"/>
            </w:tcMar>
            <w:shd w:fill="FFFFFF"/>
          </w:tcPr>
          <w:p>
            <w:pPr>
              <w:spacing w:before="0" w:after="40" w:line="240" w:lineRule="auto"/>
              <w:jc w:val="center"/>
            </w:pPr>
            <w:r>
              <w:rPr>
                <w:b w:val="0"/>
                <w:color w:val="000000"/>
                <w:sz w:val="20"/>
              </w:rPr>
              <w:t>R03</w:t>
            </w:r>
          </w:p>
        </w:tc>
        <w:tc>
          <w:tcPr>
            <w:tcW w:type="dxa" w:w="6696"/>
            <w:vAlign w:val="center"/>
            <w:tcMar>
              <w:top w:w="90" w:type="dxa"/>
              <w:bottom w:w="90" w:type="dxa"/>
              <w:left w:w="90" w:type="dxa"/>
              <w:right w:w="90" w:type="dxa"/>
            </w:tcMar>
            <w:shd w:fill="FFFFFF"/>
          </w:tcPr>
          <w:p>
            <w:pPr>
              <w:spacing w:before="0" w:after="40" w:line="240" w:lineRule="auto"/>
            </w:pPr>
            <w:r>
              <w:rPr>
                <w:b w:val="0"/>
                <w:color w:val="000000"/>
                <w:sz w:val="20"/>
              </w:rPr>
              <w:t>Automated simulated email or SMS notifications</w:t>
            </w:r>
          </w:p>
        </w:tc>
        <w:tc>
          <w:tcPr>
            <w:tcW w:type="dxa" w:w="2592"/>
            <w:vAlign w:val="center"/>
            <w:tcMar>
              <w:top w:w="90" w:type="dxa"/>
              <w:bottom w:w="90" w:type="dxa"/>
              <w:left w:w="90" w:type="dxa"/>
              <w:right w:w="90" w:type="dxa"/>
            </w:tcMar>
            <w:shd w:fill="FFFFFF"/>
          </w:tcPr>
          <w:p>
            <w:pPr>
              <w:spacing w:before="0" w:after="40" w:line="240" w:lineRule="auto"/>
            </w:pPr>
            <w:r>
              <w:rPr>
                <w:b w:val="0"/>
                <w:color w:val="000000"/>
                <w:sz w:val="20"/>
              </w:rPr>
              <w:t>Kamalpreet</w:t>
            </w:r>
          </w:p>
        </w:tc>
      </w:tr>
      <w:tr>
        <w:trPr>
          <w:cantSplit/>
        </w:trPr>
        <w:tc>
          <w:tcPr>
            <w:tcW w:type="dxa" w:w="792"/>
            <w:vAlign w:val="center"/>
            <w:tcMar>
              <w:top w:w="90" w:type="dxa"/>
              <w:bottom w:w="90" w:type="dxa"/>
              <w:left w:w="90" w:type="dxa"/>
              <w:right w:w="90" w:type="dxa"/>
            </w:tcMar>
            <w:shd w:fill="F1F4F6"/>
          </w:tcPr>
          <w:p>
            <w:pPr>
              <w:spacing w:before="0" w:after="40" w:line="240" w:lineRule="auto"/>
              <w:jc w:val="center"/>
            </w:pPr>
            <w:r>
              <w:rPr>
                <w:b w:val="0"/>
                <w:color w:val="000000"/>
                <w:sz w:val="20"/>
              </w:rPr>
              <w:t>R04</w:t>
            </w:r>
          </w:p>
        </w:tc>
        <w:tc>
          <w:tcPr>
            <w:tcW w:type="dxa" w:w="6696"/>
            <w:vAlign w:val="center"/>
            <w:tcMar>
              <w:top w:w="90" w:type="dxa"/>
              <w:bottom w:w="90" w:type="dxa"/>
              <w:left w:w="90" w:type="dxa"/>
              <w:right w:w="90" w:type="dxa"/>
            </w:tcMar>
            <w:shd w:fill="F1F4F6"/>
          </w:tcPr>
          <w:p>
            <w:pPr>
              <w:spacing w:before="0" w:after="40" w:line="240" w:lineRule="auto"/>
            </w:pPr>
            <w:r>
              <w:rPr>
                <w:b w:val="0"/>
                <w:color w:val="000000"/>
                <w:sz w:val="20"/>
              </w:rPr>
              <w:t>Branches, reception desks and item transfers</w:t>
            </w:r>
          </w:p>
        </w:tc>
        <w:tc>
          <w:tcPr>
            <w:tcW w:type="dxa" w:w="2592"/>
            <w:vAlign w:val="center"/>
            <w:tcMar>
              <w:top w:w="90" w:type="dxa"/>
              <w:bottom w:w="90" w:type="dxa"/>
              <w:left w:w="90" w:type="dxa"/>
              <w:right w:w="90" w:type="dxa"/>
            </w:tcMar>
            <w:shd w:fill="F1F4F6"/>
          </w:tcPr>
          <w:p>
            <w:pPr>
              <w:spacing w:before="0" w:after="40" w:line="240" w:lineRule="auto"/>
            </w:pPr>
            <w:r>
              <w:rPr>
                <w:b w:val="0"/>
                <w:color w:val="000000"/>
                <w:sz w:val="20"/>
              </w:rPr>
              <w:t>Harsimran</w:t>
            </w:r>
          </w:p>
        </w:tc>
      </w:tr>
      <w:tr>
        <w:trPr>
          <w:cantSplit/>
        </w:trPr>
        <w:tc>
          <w:tcPr>
            <w:tcW w:type="dxa" w:w="792"/>
            <w:vAlign w:val="center"/>
            <w:tcMar>
              <w:top w:w="90" w:type="dxa"/>
              <w:bottom w:w="90" w:type="dxa"/>
              <w:left w:w="90" w:type="dxa"/>
              <w:right w:w="90" w:type="dxa"/>
            </w:tcMar>
            <w:shd w:fill="FFFFFF"/>
          </w:tcPr>
          <w:p>
            <w:pPr>
              <w:spacing w:before="0" w:after="40" w:line="240" w:lineRule="auto"/>
              <w:jc w:val="center"/>
            </w:pPr>
            <w:r>
              <w:rPr>
                <w:b w:val="0"/>
                <w:color w:val="000000"/>
                <w:sz w:val="20"/>
              </w:rPr>
              <w:t>R05</w:t>
            </w:r>
          </w:p>
        </w:tc>
        <w:tc>
          <w:tcPr>
            <w:tcW w:type="dxa" w:w="6696"/>
            <w:vAlign w:val="center"/>
            <w:tcMar>
              <w:top w:w="90" w:type="dxa"/>
              <w:bottom w:w="90" w:type="dxa"/>
              <w:left w:w="90" w:type="dxa"/>
              <w:right w:w="90" w:type="dxa"/>
            </w:tcMar>
            <w:shd w:fill="FFFFFF"/>
          </w:tcPr>
          <w:p>
            <w:pPr>
              <w:spacing w:before="0" w:after="40" w:line="240" w:lineRule="auto"/>
            </w:pPr>
            <w:r>
              <w:rPr>
                <w:b w:val="0"/>
                <w:color w:val="000000"/>
                <w:sz w:val="20"/>
              </w:rPr>
              <w:t>FIFO holds on borrowed and damaged items</w:t>
            </w:r>
          </w:p>
        </w:tc>
        <w:tc>
          <w:tcPr>
            <w:tcW w:type="dxa" w:w="2592"/>
            <w:vAlign w:val="center"/>
            <w:tcMar>
              <w:top w:w="90" w:type="dxa"/>
              <w:bottom w:w="90" w:type="dxa"/>
              <w:left w:w="90" w:type="dxa"/>
              <w:right w:w="90" w:type="dxa"/>
            </w:tcMar>
            <w:shd w:fill="FFFFFF"/>
          </w:tcPr>
          <w:p>
            <w:pPr>
              <w:spacing w:before="0" w:after="40" w:line="240" w:lineRule="auto"/>
            </w:pPr>
            <w:r>
              <w:rPr>
                <w:b w:val="0"/>
                <w:color w:val="000000"/>
                <w:sz w:val="20"/>
              </w:rPr>
              <w:t>Kamalpreet</w:t>
            </w:r>
          </w:p>
        </w:tc>
      </w:tr>
      <w:tr>
        <w:trPr>
          <w:cantSplit/>
        </w:trPr>
        <w:tc>
          <w:tcPr>
            <w:tcW w:type="dxa" w:w="792"/>
            <w:vAlign w:val="center"/>
            <w:tcMar>
              <w:top w:w="90" w:type="dxa"/>
              <w:bottom w:w="90" w:type="dxa"/>
              <w:left w:w="90" w:type="dxa"/>
              <w:right w:w="90" w:type="dxa"/>
            </w:tcMar>
            <w:shd w:fill="F1F4F6"/>
          </w:tcPr>
          <w:p>
            <w:pPr>
              <w:spacing w:before="0" w:after="40" w:line="240" w:lineRule="auto"/>
              <w:jc w:val="center"/>
            </w:pPr>
            <w:r>
              <w:rPr>
                <w:b w:val="0"/>
                <w:color w:val="000000"/>
                <w:sz w:val="20"/>
              </w:rPr>
              <w:t>R06</w:t>
            </w:r>
          </w:p>
        </w:tc>
        <w:tc>
          <w:tcPr>
            <w:tcW w:type="dxa" w:w="6696"/>
            <w:vAlign w:val="center"/>
            <w:tcMar>
              <w:top w:w="90" w:type="dxa"/>
              <w:bottom w:w="90" w:type="dxa"/>
              <w:left w:w="90" w:type="dxa"/>
              <w:right w:w="90" w:type="dxa"/>
            </w:tcMar>
            <w:shd w:fill="F1F4F6"/>
          </w:tcPr>
          <w:p>
            <w:pPr>
              <w:spacing w:before="0" w:after="40" w:line="240" w:lineRule="auto"/>
            </w:pPr>
            <w:r>
              <w:rPr>
                <w:b w:val="0"/>
                <w:color w:val="000000"/>
                <w:sz w:val="20"/>
              </w:rPr>
              <w:t>Administrative CSV importer or mock metadata provider</w:t>
            </w:r>
          </w:p>
        </w:tc>
        <w:tc>
          <w:tcPr>
            <w:tcW w:type="dxa" w:w="2592"/>
            <w:vAlign w:val="center"/>
            <w:tcMar>
              <w:top w:w="90" w:type="dxa"/>
              <w:bottom w:w="90" w:type="dxa"/>
              <w:left w:w="90" w:type="dxa"/>
              <w:right w:w="90" w:type="dxa"/>
            </w:tcMar>
            <w:shd w:fill="F1F4F6"/>
          </w:tcPr>
          <w:p>
            <w:pPr>
              <w:spacing w:before="0" w:after="40" w:line="240" w:lineRule="auto"/>
            </w:pPr>
            <w:r>
              <w:rPr>
                <w:b w:val="0"/>
                <w:color w:val="000000"/>
                <w:sz w:val="20"/>
              </w:rPr>
              <w:t>Sandesh</w:t>
            </w:r>
          </w:p>
        </w:tc>
      </w:tr>
      <w:tr>
        <w:trPr>
          <w:cantSplit/>
        </w:trPr>
        <w:tc>
          <w:tcPr>
            <w:tcW w:type="dxa" w:w="792"/>
            <w:vAlign w:val="center"/>
            <w:tcMar>
              <w:top w:w="90" w:type="dxa"/>
              <w:bottom w:w="90" w:type="dxa"/>
              <w:left w:w="90" w:type="dxa"/>
              <w:right w:w="90" w:type="dxa"/>
            </w:tcMar>
            <w:shd w:fill="FFFFFF"/>
          </w:tcPr>
          <w:p>
            <w:pPr>
              <w:spacing w:before="0" w:after="40" w:line="240" w:lineRule="auto"/>
              <w:jc w:val="center"/>
            </w:pPr>
            <w:r>
              <w:rPr>
                <w:b w:val="0"/>
                <w:color w:val="000000"/>
                <w:sz w:val="20"/>
              </w:rPr>
              <w:t>R07</w:t>
            </w:r>
          </w:p>
        </w:tc>
        <w:tc>
          <w:tcPr>
            <w:tcW w:type="dxa" w:w="6696"/>
            <w:vAlign w:val="center"/>
            <w:tcMar>
              <w:top w:w="90" w:type="dxa"/>
              <w:bottom w:w="90" w:type="dxa"/>
              <w:left w:w="90" w:type="dxa"/>
              <w:right w:w="90" w:type="dxa"/>
            </w:tcMar>
            <w:shd w:fill="FFFFFF"/>
          </w:tcPr>
          <w:p>
            <w:pPr>
              <w:spacing w:before="0" w:after="40" w:line="240" w:lineRule="auto"/>
            </w:pPr>
            <w:r>
              <w:rPr>
                <w:b w:val="0"/>
                <w:color w:val="000000"/>
                <w:sz w:val="20"/>
              </w:rPr>
              <w:t>Manager analytics and CSV/PDF exports</w:t>
            </w:r>
          </w:p>
        </w:tc>
        <w:tc>
          <w:tcPr>
            <w:tcW w:type="dxa" w:w="2592"/>
            <w:vAlign w:val="center"/>
            <w:tcMar>
              <w:top w:w="90" w:type="dxa"/>
              <w:bottom w:w="90" w:type="dxa"/>
              <w:left w:w="90" w:type="dxa"/>
              <w:right w:w="90" w:type="dxa"/>
            </w:tcMar>
            <w:shd w:fill="FFFFFF"/>
          </w:tcPr>
          <w:p>
            <w:pPr>
              <w:spacing w:before="0" w:after="40" w:line="240" w:lineRule="auto"/>
            </w:pPr>
            <w:r>
              <w:rPr>
                <w:b w:val="0"/>
                <w:color w:val="000000"/>
                <w:sz w:val="20"/>
              </w:rPr>
              <w:t>Sandesh</w:t>
            </w:r>
          </w:p>
        </w:tc>
      </w:tr>
    </w:tbl>
    <w:p>
      <w:pPr>
        <w:spacing w:after="0"/>
      </w:pPr>
      <w:r/>
    </w:p>
    <w:p>
      <w:pPr>
        <w:pStyle w:val="Heading2"/>
        <w:keepNext/>
      </w:pPr>
      <w:r>
        <w:rPr>
          <w:color w:val="000000"/>
          <w:u w:val="none"/>
        </w:rPr>
        <w:t>Baseline and implementation approach</w:t>
      </w:r>
    </w:p>
    <w:p>
      <w:r>
        <w:t>We have selected Kamalpreet's Assignment 2 .NET 10 MVC solution. It already contains books, music, toys, borrowers, loans, Identity staff roles, a public catalogue and a manager dashboard. We will extend these controllers, views and database models within the existing solution. Each feature will use shared lending and availability rules.</w:t>
      </w:r>
    </w:p>
    <w:p>
      <w:pPr>
        <w:spacing w:after="120"/>
      </w:pPr>
      <w:r>
        <w:t>The 16 October release combines the tested lead source 9b28459 with Sandesh's da0f483 corrections and the kiosk/API/branch work in those histories. The application compiles on .NET 10; automated production-code and model/export checks are recorded separately from Windows SQL Server and VM checks. Earlier seven-migration Windows history and hold/transfer evidence are retained. Final Windows verification, successful VM installation and the one-PDF portfolio remain outstanding.</w:t>
      </w:r>
    </w:p>
    <w:p>
      <w:pPr>
        <w:spacing w:after="80"/>
      </w:pPr>
      <w:hyperlink r:id="rId11">
        <w:r>
          <w:rPr>
            <w:color w:val="17456B"/>
            <w:u w:val="single"/>
          </w:rPr>
          <w:t>Source repository</w:t>
        </w:r>
      </w:hyperlink>
    </w:p>
    <w:p>
      <w:pPr>
        <w:spacing w:after="80"/>
      </w:pPr>
      <w:hyperlink r:id="rId12">
        <w:r>
          <w:rPr>
            <w:color w:val="17456B"/>
            <w:u w:val="single"/>
          </w:rPr>
          <w:t>Project task board</w:t>
        </w:r>
      </w:hyperlink>
    </w:p>
    <w:p>
      <w:pPr>
        <w:pStyle w:val="Heading1"/>
        <w:keepNext/>
      </w:pPr>
      <w:r>
        <w:rPr>
          <w:color w:val="000000"/>
          <w:u w:val="none"/>
        </w:rPr>
        <w:t>Patron access channels</w:t>
      </w:r>
    </w:p>
    <w:p>
      <w:pPr>
        <w:pStyle w:val="Heading2"/>
        <w:keepNext/>
      </w:pPr>
      <w:r>
        <w:rPr>
          <w:color w:val="000000"/>
          <w:u w:val="none"/>
        </w:rPr>
        <w:t>R01 Self service kiosk</w:t>
      </w:r>
    </w:p>
    <w:p>
      <w:pPr>
        <w:keepLines/>
      </w:pPr>
      <w:r>
        <w:t>Required outcome: The brief requires a dedicated, simplified touch interface that scans a library code for checkout or provides an account summary. Our group plan proposes both capabilities through /Kiosk. Checkout must use the configured physical branch and shared lending rules.</w:t>
      </w:r>
    </w:p>
    <w:p>
      <w:r>
        <w:t>Patron accounts use ASP.NET Core Identity and a unique optional Borrower link. The authenticated user ID determines private data and hold ownership; LibraryCode supports scan or keyboard input. Account, patron-hold and shared-checkout source is implemented. PH01–PH03 show placement, FIFO and membership-access results; final checkout/security checks remain pending.</w:t>
      </w:r>
    </w:p>
    <w:p>
      <w:pPr>
        <w:spacing w:after="100"/>
      </w:pPr>
      <w:r>
        <w:rPr>
          <w:b/>
        </w:rPr>
        <w:t>K01</w:t>
      </w:r>
      <w:r>
        <w:t xml:space="preserve">  An active patron at the configured branch scans an eligible item and confirms checkout. Exactly one active loan is created, the item becomes borrowed and a receipt notification is logged.</w:t>
      </w:r>
    </w:p>
    <w:p>
      <w:pPr>
        <w:spacing w:after="100"/>
      </w:pPr>
      <w:r>
        <w:rPr>
          <w:b/>
        </w:rPr>
        <w:t>K02</w:t>
      </w:r>
      <w:r>
        <w:t xml:space="preserve">  Blank or unknown codes, inactive borrowers, damaged items, stock at another branch, items in transit and items allocated to another patron produce a clear message without a new loan.</w:t>
      </w:r>
    </w:p>
    <w:p>
      <w:pPr>
        <w:spacing w:after="100"/>
      </w:pPr>
      <w:r>
        <w:rPr>
          <w:b/>
        </w:rPr>
        <w:t>K03</w:t>
      </w:r>
      <w:r>
        <w:t xml:space="preserve">  The patron can complete search, checkout and account review without staff menus. Ending the session clears account details. After the proposed two minute inactivity limit, the next visitor sees a fresh start screen.</w:t>
      </w:r>
    </w:p>
    <w:p>
      <w:pPr>
        <w:spacing w:after="100"/>
      </w:pPr>
      <w:r>
        <w:rPr>
          <w:b/>
        </w:rPr>
        <w:t>K04</w:t>
      </w:r>
      <w:r>
        <w:t xml:space="preserve">  The main controls support touch and keyboard use, show field labels and retain focus for scanning. Record real patron testing, the difficulty observed and the change made in response.</w:t>
      </w:r>
    </w:p>
    <w:p>
      <w:pPr>
        <w:pStyle w:val="Heading2"/>
        <w:keepNext/>
      </w:pPr>
      <w:r>
        <w:rPr>
          <w:color w:val="000000"/>
          <w:u w:val="none"/>
        </w:rPr>
        <w:t>R02 Secure read only API</w:t>
      </w:r>
    </w:p>
    <w:p>
      <w:pPr>
        <w:keepLines/>
      </w:pPr>
      <w:r>
        <w:t>Required outcome: External applications query available copies, categories and operating status through API-key-protected read-only REST endpoints. Current routes are GET /api/catalogue, /available, /categories, /status and /{code}. Item queries support category, active branchId and limit; search is available on the catalogue route. Middleware and query rules have automated tests; final HTTPS requests remain to be run on Windows.</w:t>
      </w:r>
    </w:p>
    <w:p>
      <w:r>
        <w:t>The API reports system/database health and configured active branch flags. Live opening hours are not configured; clarification of that interpretation remains Q3. Shared availability excludes active loans, transit and reservations. It is also used by manager reports, so these channels follow the same eligibility rules.</w:t>
      </w:r>
    </w:p>
    <w:p>
      <w:pPr>
        <w:spacing w:after="100"/>
      </w:pPr>
      <w:r>
        <w:rPr>
          <w:b/>
        </w:rPr>
        <w:t>A01</w:t>
      </w:r>
      <w:r>
        <w:t xml:space="preserve">  A request with valid credentials returns JSON for each of the three data areas. Filtered item results contain only eligible stock at the requested branch and category.</w:t>
      </w:r>
    </w:p>
    <w:p>
      <w:pPr>
        <w:spacing w:after="100"/>
      </w:pPr>
      <w:r>
        <w:rPr>
          <w:b/>
        </w:rPr>
        <w:t>A02</w:t>
      </w:r>
      <w:r>
        <w:t xml:space="preserve">  Missing or invalid credentials receive an authentication error. Attempts to change data through the API are rejected. Responses and logs reveal no credentials or borrower account information.</w:t>
      </w:r>
    </w:p>
    <w:p>
      <w:pPr>
        <w:spacing w:after="100"/>
      </w:pPr>
      <w:r>
        <w:rPr>
          <w:b/>
        </w:rPr>
        <w:t>A03</w:t>
      </w:r>
      <w:r>
        <w:t xml:space="preserve">  README examples explain authentication, filters, sample responses and errors. Repeat an item query before checkout, after checkout and after an unreserved return to prove stock availability changes correctly.</w:t>
      </w:r>
    </w:p>
    <w:p>
      <w:pPr>
        <w:pStyle w:val="Heading2"/>
        <w:keepNext/>
      </w:pPr>
      <w:r>
        <w:rPr>
          <w:color w:val="000000"/>
          <w:u w:val="none"/>
        </w:rPr>
        <w:t>Patron search guide</w:t>
      </w:r>
    </w:p>
    <w:p>
      <w:r>
        <w:t>Keep the public catalogue and document its search capabilities for patrons. The expanded search will make item type, branch and availability understandable. The guide will use the final interface and include an unavailable toy example so patrons know how to request a hold.</w:t>
      </w:r>
    </w:p>
    <w:p>
      <w:pPr>
        <w:pStyle w:val="Heading1"/>
        <w:keepNext/>
        <w:pageBreakBefore/>
      </w:pPr>
      <w:r>
        <w:rPr>
          <w:color w:val="000000"/>
          <w:u w:val="none"/>
        </w:rPr>
        <w:t>Branches and fair reservation queues</w:t>
      </w:r>
    </w:p>
    <w:p>
      <w:pPr>
        <w:pStyle w:val="Heading2"/>
        <w:keepNext/>
      </w:pPr>
      <w:r>
        <w:rPr>
          <w:color w:val="000000"/>
          <w:u w:val="none"/>
        </w:rPr>
        <w:t>R04 Branch inventory and transfers</w:t>
      </w:r>
    </w:p>
    <w:p>
      <w:pPr>
        <w:keepLines/>
      </w:pPr>
      <w:r>
        <w:t>Required outcome: Items and reception desks belong to branches and authorised staff coordinate transfers. Source includes Darwin, Palmerston and Casuarina with DAR-D01, PAL-D01 and CAS-D01. Correct dispatch, invalid destination/transit/origin-receipt guards and first destination handover are reported tested. Repeat receipt and final VM checks remain required.</w:t>
      </w:r>
    </w:p>
    <w:p>
      <w:pPr>
        <w:spacing w:after="100"/>
      </w:pPr>
      <w:r>
        <w:rPr>
          <w:b/>
        </w:rPr>
        <w:t>B01</w:t>
      </w:r>
      <w:r>
        <w:t xml:space="preserve">  Existing stock is assigned a branch during migration or seeding. Selecting a reception desk identifies its branch. Catalogue results and staff stock lists display the item's current physical branch.</w:t>
      </w:r>
    </w:p>
    <w:p>
      <w:pPr>
        <w:spacing w:after="100"/>
      </w:pPr>
      <w:r>
        <w:rPr>
          <w:b/>
        </w:rPr>
        <w:t>B02</w:t>
      </w:r>
      <w:r>
        <w:t xml:space="preserve">  Staff dispatch an eligible item and the transfer becomes InTransit. Checkout is blocked during transit. Receiving staff confirm arrival, then the physical branch changes to the destination and eligibility is rechecked.</w:t>
      </w:r>
    </w:p>
    <w:p>
      <w:pPr>
        <w:spacing w:after="100"/>
      </w:pPr>
      <w:r>
        <w:rPr>
          <w:b/>
        </w:rPr>
        <w:t>B03</w:t>
      </w:r>
      <w:r>
        <w:t xml:space="preserve">  Duplicate active transfers, identical source and destination, borrowed stock and damaged stock are rejected. A returned or repaired copy allocated to the queue head may be transferred to that patron's pickup branch.</w:t>
      </w:r>
    </w:p>
    <w:p>
      <w:pPr>
        <w:spacing w:after="100"/>
      </w:pPr>
      <w:r>
        <w:rPr>
          <w:b/>
        </w:rPr>
        <w:t>B04</w:t>
      </w:r>
      <w:r>
        <w:t xml:space="preserve">  Run branch seeding twice and restart the application. Branches, desks and demonstration records remain valid without duplicates. Verify installation and branch selection on the virtual machine.</w:t>
      </w:r>
    </w:p>
    <w:p>
      <w:pPr>
        <w:pStyle w:val="Heading2"/>
        <w:keepNext/>
      </w:pPr>
      <w:r>
        <w:rPr>
          <w:color w:val="000000"/>
          <w:u w:val="none"/>
        </w:rPr>
        <w:t>R05 Holds and waitlists</w:t>
      </w:r>
    </w:p>
    <w:p>
      <w:pPr>
        <w:keepLines/>
      </w:pPr>
      <w:r>
        <w:t>Required outcome: Patrons request borrowed or damaged copies and the next eligible member is notified when the copy is ready. Staff and patron placement share validation; return, repair, transfer and checkout preserve the allocation. PH01–PH03 show placement, FIFO and membership-access results. POST/privacy and concurrency checks remain pending; pickup expiry is optional.</w:t>
      </w:r>
    </w:p>
    <w:p>
      <w:pPr>
        <w:spacing w:after="100"/>
      </w:pPr>
      <w:r>
        <w:t>H01  Two active members request the same borrowed or damaged copy at an active pickup branch. Requests are ordered by creation time, with hold ID breaking timestamp ties. Duplicate active requests by the same member are rejected. Inactive memberships or pickup branches pause eligibility without rewriting the original request timestamp.</w:t>
      </w:r>
    </w:p>
    <w:p>
      <w:pPr>
        <w:spacing w:after="100"/>
      </w:pPr>
      <w:r>
        <w:t>H02  A return or completed repair allocates the usable copy to the next eligible waiting member. If it is physically at the selected pickup branch, it becomes ready for collection and a simulated pickup notification is logged. A later queued member or unrelated borrower cannot take the allocation.</w:t>
      </w:r>
    </w:p>
    <w:p>
      <w:pPr>
        <w:spacing w:after="100"/>
      </w:pPr>
      <w:r>
        <w:t>H03  If pickup is at another branch, the request displays its allocation while staff coordinate a protected transfer. A ready-for-pickup notification is logged only after destination receipt. The next member remains waiting until the current allocation is fulfilled or cancelled; the transferred copy is never advertised for general checkout during the handover.</w:t>
      </w:r>
    </w:p>
    <w:p>
      <w:pPr>
        <w:spacing w:after="100"/>
      </w:pPr>
      <w:r>
        <w:rPr>
          <w:b/>
        </w:rPr>
        <w:t>H04</w:t>
      </w:r>
      <w:r>
        <w:t xml:space="preserve">  An item recorded as damaged remains unavailable for checkout until authorised staff record its repair. A repeated repair or return submission creates no duplicate allocation or notification.</w:t>
      </w:r>
    </w:p>
    <w:p>
      <w:pPr>
        <w:pStyle w:val="Heading2"/>
        <w:keepNext/>
      </w:pPr>
      <w:r>
        <w:rPr>
          <w:color w:val="000000"/>
          <w:u w:val="none"/>
        </w:rPr>
        <w:t>One availability rule across modules</w:t>
      </w:r>
    </w:p>
    <w:p>
      <w:r>
        <w:t>Every checkout channel will check the same conditions: the borrower is active, the item is physically available at the checkout branch, no active loan or transit transfer exists, and any pickup allocation belongs to that borrower. Public API availability uses the same stock conditions and excludes allocated copies.</w:t>
      </w:r>
    </w:p>
    <w:p>
      <w:r>
        <w:t>This rule connects the modules. A successful repair can release a queue allocation, but the destination kiosk must wait for the transfer to be received. A cancelled allocation allows the next eligible queued patron to be considered.</w:t>
      </w:r>
    </w:p>
    <w:p>
      <w:pPr>
        <w:pStyle w:val="Heading1"/>
        <w:keepNext/>
      </w:pPr>
      <w:r>
        <w:rPr>
          <w:color w:val="000000"/>
          <w:u w:val="none"/>
        </w:rPr>
        <w:t>Notifications importing and reporting</w:t>
      </w:r>
    </w:p>
    <w:p>
      <w:pPr>
        <w:pStyle w:val="Heading2"/>
        <w:keepNext/>
      </w:pPr>
      <w:r>
        <w:rPr>
          <w:color w:val="000000"/>
          <w:u w:val="none"/>
        </w:rPr>
        <w:t>R03 Simulated email and SMS notifications</w:t>
      </w:r>
    </w:p>
    <w:p>
      <w:pPr>
        <w:keepLines/>
      </w:pPr>
      <w:r>
        <w:t>Required outcome: Automated simulations cover borrowing, approaching due dates and accruing fines. The durable staff log records recipient, channel, kind, item/loan, message and time. Initial borrowing/due-soon images and later reported pickup counts exist. Remaining fine/date/contact/access checks are listed in the notification record.</w:t>
      </w:r>
    </w:p>
    <w:p>
      <w:pPr>
        <w:spacing w:after="100"/>
      </w:pPr>
      <w:r>
        <w:rPr>
          <w:b/>
        </w:rPr>
        <w:t>N01</w:t>
      </w:r>
      <w:r>
        <w:t xml:space="preserve">  Successful checkout automatically logs a borrowing receipt. Upcoming due dates and overdue fines are checked automatically while the application runs, with a catch up check at startup.</w:t>
      </w:r>
    </w:p>
    <w:p>
      <w:pPr>
        <w:spacing w:after="100"/>
      </w:pPr>
      <w:r>
        <w:rPr>
          <w:b/>
        </w:rPr>
        <w:t>N02</w:t>
      </w:r>
      <w:r>
        <w:t xml:space="preserve">  Proposed timing is one reminder within the two days before the due date and one fine update per overdue day. Rechecks keep one reminder per loan due date and one fine update per loan and business date.</w:t>
      </w:r>
    </w:p>
    <w:p>
      <w:pPr>
        <w:spacing w:after="100"/>
      </w:pPr>
      <w:r>
        <w:t>N03  A usable return, repair or destination receipt makes the eligible pickup request ready only at its selected branch. The corresponding simulated pickup messages are logged after committed state and retried by the worker. Immediate and scheduled rechecks must not duplicate the same ready event/channel.</w:t>
      </w:r>
    </w:p>
    <w:p>
      <w:pPr>
        <w:pStyle w:val="Heading2"/>
        <w:keepNext/>
      </w:pPr>
      <w:r>
        <w:rPr>
          <w:color w:val="000000"/>
          <w:u w:val="none"/>
        </w:rPr>
        <w:t>R06 Administrative CSV importer</w:t>
      </w:r>
    </w:p>
    <w:p>
      <w:r>
        <w:t>The brief permits CSV upload or a mock provider. The current importer requires Title, Author, ISBN, Category, Quantity and PublicationYear; Publisher is optional. Quantity creates separately coded physical copies at a selected active branch. Invalid years, non-positive quantities, missing/duplicate headers and existing ISBNs produce validation outcomes. Accepted/skipped rows and copy counts are explained. Automated fixtures pass; the final Windows upload remains a separate check.</w:t>
      </w:r>
    </w:p>
    <w:p>
      <w:pPr>
        <w:spacing w:after="100"/>
      </w:pPr>
      <w:r>
        <w:rPr>
          <w:b/>
        </w:rPr>
        <w:t xml:space="preserve">I01  </w:t>
      </w:r>
      <w:r/>
      <w:r>
        <w:rPr>
          <w:b w:val="0"/>
        </w:rPr>
        <w:t>A valid file creates the supported item type at the selected active branch, with unique physical library codes and valid model values. For the current book importer, validate Author, BookGenre, PublicationYear and the CSV-to-model mapping. Music/toy import remains a scope proposal.</w:t>
      </w:r>
    </w:p>
    <w:p>
      <w:pPr>
        <w:spacing w:after="100"/>
      </w:pPr>
      <w:r>
        <w:rPr>
          <w:b/>
        </w:rPr>
      </w:r>
      <w:r/>
      <w:r>
        <w:t>I02  Missing or duplicate required headers reject the upload. Invalid rows are skipped with reasons while valid rows are accepted. The accepted rows are saved in one transaction; a database failure rolls that transaction back.</w:t>
      </w:r>
    </w:p>
    <w:p>
      <w:pPr>
        <w:spacing w:after="100"/>
      </w:pPr>
      <w:r>
        <w:rPr>
          <w:b/>
        </w:rPr>
      </w:r>
      <w:r/>
      <w:r>
        <w:t>I03  Imported copies start Available at the selected active branch. Re-importing an existing ISBN skips it without overwriting records. The response reports accepted/skipped rows and copies created. A persistent staff-by-staff import audit is a future enhancement.</w:t>
      </w:r>
    </w:p>
    <w:p>
      <w:pPr>
        <w:pStyle w:val="Heading2"/>
        <w:keepNext/>
      </w:pPr>
      <w:r>
        <w:rPr>
          <w:color w:val="000000"/>
          <w:u w:val="none"/>
        </w:rPr>
        <w:t>R07 Manager analytics and exports</w:t>
      </w:r>
    </w:p>
    <w:p>
      <w:pPr>
        <w:keepLines/>
      </w:pPr>
      <w:r/>
      <w:r>
        <w:t>Required outcome: Managers report borrowing statistics, fine revenue audits and inventory health, with CSV and PDF exports. The current report covers the whole collection and displays generation time. Branch/date reporting filters remain an optional enhancement.</w:t>
      </w:r>
    </w:p>
    <w:p>
      <w:pPr>
        <w:spacing w:after="100"/>
      </w:pPr>
      <w:r>
        <w:rPr>
          <w:b/>
        </w:rPr>
        <w:t>M01</w:t>
      </w:r>
      <w:r>
        <w:t xml:space="preserve">  Borrowing statistics distinguish new loans, active loans, overdue loans and returns. Inventory health shows condition counts and highlights copies damaged, destroyed, allocated for pickup or in transit without counting a physical copy twice in the total.</w:t>
      </w:r>
    </w:p>
    <w:p>
      <w:pPr>
        <w:spacing w:after="100"/>
      </w:pPr>
      <w:r>
        <w:rPr>
          <w:b/>
        </w:rPr>
        <w:t xml:space="preserve">M02  </w:t>
      </w:r>
      <w:r/>
      <w:r>
        <w:rPr>
          <w:b w:val="0"/>
        </w:rPr>
        <w:t>Collected fine revenue uses the stored fine amount and paid status/date, with loan references so a manager can trace the total. Unpaid amounts and any accruing estimates are labelled separately; repeating a paid action does not increase revenue twice. A separate transaction ledger is a future enhancement.</w:t>
      </w:r>
    </w:p>
    <w:p>
      <w:pPr>
        <w:spacing w:after="100"/>
      </w:pPr>
      <w:r>
        <w:rPr>
          <w:b/>
        </w:rPr>
      </w:r>
      <w:r/>
      <w:r>
        <w:t>M03  Dashboard, CSV and PDF reconcile for the same stable dataset. Fine and inventory audit rows explain totals; PDF explicitly limits detailed rows and refers to the full CSV. Staff without manager reporting permission cannot open or export reports.</w:t>
      </w:r>
    </w:p>
    <w:p>
      <w:pPr>
        <w:pStyle w:val="Heading1"/>
        <w:keepNext/>
      </w:pPr>
      <w:r>
        <w:rPr>
          <w:color w:val="000000"/>
          <w:u w:val="none"/>
        </w:rPr>
        <w:t>Shared rules and integration checks</w:t>
      </w:r>
    </w:p>
    <w:p>
      <w:pPr>
        <w:pStyle w:val="Heading2"/>
        <w:keepNext/>
      </w:pPr>
      <w:r>
        <w:rPr>
          <w:color w:val="000000"/>
          <w:u w:val="none"/>
        </w:rPr>
        <w:t>Proposed rules for the first implementation</w:t>
      </w:r>
    </w:p>
    <w:p>
      <w:r>
        <w:t>Each LibraryCode identifies one physical copy. Holds refer to that copy. Existing staff roles remain in use: Admin manages stock and import, Reception manages lending and transfers, and Manager accesses reporting. Repair permissions will follow the stock management role.</w:t>
      </w:r>
    </w:p>
    <w:p>
      <w:r>
        <w:t>Store event timestamps in UTC and display them in Darwin time. Calculate due and overdue days consistently using Darwin calendar dates. Proposed lending rules preserve the current defaults of 14 days and $1.50 per late day. A three day overdue loan therefore accrues $4.50. The fine stops increasing when the item is returned.</w:t>
      </w:r>
    </w:p>
    <w:p>
      <w:r>
        <w:t>The current loan record stores the final fine, paid flag and payment date. Reports distinguish unpaid fines, amounts marked paid and any estimated accruing charges. Trace totals back to the relevant loan records. A separate payment-transaction ledger and partial payments remain optional future work.</w:t>
      </w:r>
    </w:p>
    <w:p>
      <w:pPr>
        <w:pStyle w:val="Heading2"/>
        <w:keepNext/>
      </w:pPr>
      <w:r>
        <w:rPr>
          <w:color w:val="000000"/>
          <w:u w:val="none"/>
        </w:rPr>
        <w:t>Demonstration journey for a repaired toy</w:t>
      </w:r>
    </w:p>
    <w:p>
      <w:r>
        <w:t>The 14 October TY-9001 run used Asha MBR-9001 then Noah MBR-9002, both pickup Palmerston. Repair, protected transfer, receipt, staff collection and next-family readiness are reported. A later damaged return kept a new request waiting; repair increased pickup history to six, retained after restart. The fresh-copy demo guide uses TY-9101 to preserve this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680"/>
        <w:gridCol w:w="4752"/>
      </w:tblGrid>
      <w:tr>
        <w:trPr>
          <w:tblHeader w:val="true"/>
          <w:cantSplit/>
        </w:trPr>
        <w:tc>
          <w:tcPr>
            <w:tcW w:type="dxa" w:w="648"/>
            <w:vAlign w:val="center"/>
            <w:tcMar>
              <w:top w:w="90" w:type="dxa"/>
              <w:bottom w:w="90" w:type="dxa"/>
              <w:left w:w="90" w:type="dxa"/>
              <w:right w:w="90" w:type="dxa"/>
            </w:tcMar>
            <w:shd w:fill="23465F"/>
          </w:tcPr>
          <w:p>
            <w:pPr>
              <w:spacing w:before="0" w:after="40" w:line="240" w:lineRule="auto"/>
              <w:jc w:val="center"/>
            </w:pPr>
            <w:r>
              <w:rPr>
                <w:b/>
                <w:color w:val="FFFFFF"/>
                <w:sz w:val="20"/>
              </w:rPr>
              <w:t>Step</w:t>
            </w:r>
          </w:p>
        </w:tc>
        <w:tc>
          <w:tcPr>
            <w:tcW w:type="dxa" w:w="4680"/>
            <w:vAlign w:val="center"/>
            <w:tcMar>
              <w:top w:w="90" w:type="dxa"/>
              <w:bottom w:w="90" w:type="dxa"/>
              <w:left w:w="90" w:type="dxa"/>
              <w:right w:w="90" w:type="dxa"/>
            </w:tcMar>
            <w:shd w:fill="23465F"/>
          </w:tcPr>
          <w:p>
            <w:pPr>
              <w:spacing w:before="0" w:after="40" w:line="240" w:lineRule="auto"/>
            </w:pPr>
            <w:r>
              <w:rPr>
                <w:b/>
                <w:color w:val="FFFFFF"/>
                <w:sz w:val="20"/>
              </w:rPr>
              <w:t>Action</w:t>
            </w:r>
          </w:p>
        </w:tc>
        <w:tc>
          <w:tcPr>
            <w:tcW w:type="dxa" w:w="4752"/>
            <w:vAlign w:val="center"/>
            <w:tcMar>
              <w:top w:w="90" w:type="dxa"/>
              <w:bottom w:w="90" w:type="dxa"/>
              <w:left w:w="90" w:type="dxa"/>
              <w:right w:w="90" w:type="dxa"/>
            </w:tcMar>
            <w:shd w:fill="23465F"/>
          </w:tcPr>
          <w:p>
            <w:pPr>
              <w:spacing w:before="0" w:after="40" w:line="240" w:lineRule="auto"/>
            </w:pPr>
            <w:r>
              <w:rPr>
                <w:b/>
                <w:color w:val="FFFFFF"/>
                <w:sz w:val="20"/>
              </w:rPr>
              <w:t>Expected outcome</w:t>
            </w:r>
          </w:p>
        </w:tc>
      </w:tr>
      <w:tr>
        <w:trPr>
          <w:cantSplit/>
        </w:trPr>
        <w:tc>
          <w:tcPr>
            <w:tcW w:type="dxa" w:w="648"/>
            <w:vAlign w:val="center"/>
            <w:tcMar>
              <w:top w:w="90" w:type="dxa"/>
              <w:bottom w:w="90" w:type="dxa"/>
              <w:left w:w="90" w:type="dxa"/>
              <w:right w:w="90" w:type="dxa"/>
            </w:tcMar>
            <w:shd w:fill="FFFFFF"/>
          </w:tcPr>
          <w:p>
            <w:pPr>
              <w:spacing w:before="0" w:after="40" w:line="240" w:lineRule="auto"/>
              <w:jc w:val="center"/>
            </w:pPr>
            <w:r>
              <w:t>1</w:t>
            </w:r>
          </w:p>
        </w:tc>
        <w:tc>
          <w:tcPr>
            <w:tcW w:type="dxa" w:w="4680"/>
            <w:vAlign w:val="center"/>
            <w:tcMar>
              <w:top w:w="90" w:type="dxa"/>
              <w:bottom w:w="90" w:type="dxa"/>
              <w:left w:w="90" w:type="dxa"/>
              <w:right w:w="90" w:type="dxa"/>
            </w:tcMar>
            <w:shd w:fill="FFFFFF"/>
          </w:tcPr>
          <w:p>
            <w:pPr>
              <w:spacing w:before="0" w:after="40" w:line="240" w:lineRule="auto"/>
            </w:pPr>
            <w:r>
              <w:t>TY-9001 is damaged at Darwin Hub. MBR-9001 then MBR-9002 request holds.</w:t>
            </w:r>
          </w:p>
        </w:tc>
        <w:tc>
          <w:tcPr>
            <w:tcW w:type="dxa" w:w="4752"/>
            <w:vAlign w:val="center"/>
            <w:tcMar>
              <w:top w:w="90" w:type="dxa"/>
              <w:bottom w:w="90" w:type="dxa"/>
              <w:left w:w="90" w:type="dxa"/>
              <w:right w:w="90" w:type="dxa"/>
            </w:tcMar>
            <w:shd w:fill="FFFFFF"/>
          </w:tcPr>
          <w:p>
            <w:pPr>
              <w:spacing w:before="0" w:after="40" w:line="240" w:lineRule="auto"/>
            </w:pPr>
            <w:r>
              <w:t>Both requests are accepted; MBR-9001 is first.</w:t>
            </w:r>
          </w:p>
        </w:tc>
      </w:tr>
      <w:tr>
        <w:trPr>
          <w:cantSplit/>
        </w:trPr>
        <w:tc>
          <w:tcPr>
            <w:tcW w:type="dxa" w:w="648"/>
            <w:vAlign w:val="center"/>
            <w:tcMar>
              <w:top w:w="90" w:type="dxa"/>
              <w:bottom w:w="90" w:type="dxa"/>
              <w:left w:w="90" w:type="dxa"/>
              <w:right w:w="90" w:type="dxa"/>
            </w:tcMar>
            <w:shd w:fill="F1F4F6"/>
          </w:tcPr>
          <w:p>
            <w:pPr>
              <w:spacing w:before="0" w:after="40" w:line="240" w:lineRule="auto"/>
              <w:jc w:val="center"/>
            </w:pPr>
            <w:r>
              <w:t>2</w:t>
            </w:r>
          </w:p>
        </w:tc>
        <w:tc>
          <w:tcPr>
            <w:tcW w:type="dxa" w:w="4680"/>
            <w:vAlign w:val="center"/>
            <w:tcMar>
              <w:top w:w="90" w:type="dxa"/>
              <w:bottom w:w="90" w:type="dxa"/>
              <w:left w:w="90" w:type="dxa"/>
              <w:right w:w="90" w:type="dxa"/>
            </w:tcMar>
            <w:shd w:fill="F1F4F6"/>
          </w:tcPr>
          <w:p>
            <w:pPr>
              <w:spacing w:before="0" w:after="40" w:line="240" w:lineRule="auto"/>
            </w:pPr>
            <w:r>
              <w:t>Admin records the completed repair.</w:t>
            </w:r>
          </w:p>
        </w:tc>
        <w:tc>
          <w:tcPr>
            <w:tcW w:type="dxa" w:w="4752"/>
            <w:vAlign w:val="center"/>
            <w:tcMar>
              <w:top w:w="90" w:type="dxa"/>
              <w:bottom w:w="90" w:type="dxa"/>
              <w:left w:w="90" w:type="dxa"/>
              <w:right w:w="90" w:type="dxa"/>
            </w:tcMar>
            <w:shd w:fill="F1F4F6"/>
          </w:tcPr>
          <w:p>
            <w:r>
              <w:t>MBR-9001 is allocated the repaired copy. Its request shows that a transfer to the pickup branch is needed.</w:t>
            </w:r>
          </w:p>
        </w:tc>
      </w:tr>
      <w:tr>
        <w:trPr>
          <w:cantSplit/>
        </w:trPr>
        <w:tc>
          <w:tcPr>
            <w:tcW w:type="dxa" w:w="648"/>
            <w:vAlign w:val="center"/>
            <w:tcMar>
              <w:top w:w="90" w:type="dxa"/>
              <w:bottom w:w="90" w:type="dxa"/>
              <w:left w:w="90" w:type="dxa"/>
              <w:right w:w="90" w:type="dxa"/>
            </w:tcMar>
            <w:shd w:fill="FFFFFF"/>
          </w:tcPr>
          <w:p>
            <w:pPr>
              <w:spacing w:before="0" w:after="40" w:line="240" w:lineRule="auto"/>
              <w:jc w:val="center"/>
            </w:pPr>
            <w:r>
              <w:t>3</w:t>
            </w:r>
          </w:p>
        </w:tc>
        <w:tc>
          <w:tcPr>
            <w:tcW w:type="dxa" w:w="4680"/>
            <w:vAlign w:val="center"/>
            <w:tcMar>
              <w:top w:w="90" w:type="dxa"/>
              <w:bottom w:w="90" w:type="dxa"/>
              <w:left w:w="90" w:type="dxa"/>
              <w:right w:w="90" w:type="dxa"/>
            </w:tcMar>
            <w:shd w:fill="FFFFFF"/>
          </w:tcPr>
          <w:p>
            <w:pPr>
              <w:spacing w:before="0" w:after="40" w:line="240" w:lineRule="auto"/>
            </w:pPr>
            <w:r>
              <w:t>Reception dispatches the toy to Palmerston Hub.</w:t>
            </w:r>
          </w:p>
        </w:tc>
        <w:tc>
          <w:tcPr>
            <w:tcW w:type="dxa" w:w="4752"/>
            <w:vAlign w:val="center"/>
            <w:tcMar>
              <w:top w:w="90" w:type="dxa"/>
              <w:bottom w:w="90" w:type="dxa"/>
              <w:left w:w="90" w:type="dxa"/>
              <w:right w:w="90" w:type="dxa"/>
            </w:tcMar>
            <w:shd w:fill="FFFFFF"/>
          </w:tcPr>
          <w:p>
            <w:pPr>
              <w:spacing w:before="0" w:after="40" w:line="240" w:lineRule="auto"/>
            </w:pPr>
            <w:r>
              <w:t>The transfer is in transit; checkout is blocked.</w:t>
            </w:r>
          </w:p>
        </w:tc>
      </w:tr>
      <w:tr>
        <w:trPr>
          <w:cantSplit/>
        </w:trPr>
        <w:tc>
          <w:tcPr>
            <w:tcW w:type="dxa" w:w="648"/>
            <w:vAlign w:val="center"/>
            <w:tcMar>
              <w:top w:w="90" w:type="dxa"/>
              <w:bottom w:w="90" w:type="dxa"/>
              <w:left w:w="90" w:type="dxa"/>
              <w:right w:w="90" w:type="dxa"/>
            </w:tcMar>
            <w:shd w:fill="F1F4F6"/>
          </w:tcPr>
          <w:p>
            <w:pPr>
              <w:spacing w:before="0" w:after="40" w:line="240" w:lineRule="auto"/>
              <w:jc w:val="center"/>
            </w:pPr>
            <w:r>
              <w:t>4</w:t>
            </w:r>
          </w:p>
        </w:tc>
        <w:tc>
          <w:tcPr>
            <w:tcW w:type="dxa" w:w="4680"/>
            <w:vAlign w:val="center"/>
            <w:tcMar>
              <w:top w:w="90" w:type="dxa"/>
              <w:bottom w:w="90" w:type="dxa"/>
              <w:left w:w="90" w:type="dxa"/>
              <w:right w:w="90" w:type="dxa"/>
            </w:tcMar>
            <w:shd w:fill="F1F4F6"/>
          </w:tcPr>
          <w:p>
            <w:pPr>
              <w:spacing w:before="0" w:after="40" w:line="240" w:lineRule="auto"/>
            </w:pPr>
            <w:r>
              <w:t>Palmerston Reception confirms arrival.</w:t>
            </w:r>
          </w:p>
        </w:tc>
        <w:tc>
          <w:tcPr>
            <w:tcW w:type="dxa" w:w="4752"/>
            <w:vAlign w:val="center"/>
            <w:tcMar>
              <w:top w:w="90" w:type="dxa"/>
              <w:bottom w:w="90" w:type="dxa"/>
              <w:left w:w="90" w:type="dxa"/>
              <w:right w:w="90" w:type="dxa"/>
            </w:tcMar>
            <w:shd w:fill="F1F4F6"/>
          </w:tcPr>
          <w:p>
            <w:pPr>
              <w:spacing w:before="0" w:after="40" w:line="240" w:lineRule="auto"/>
            </w:pPr>
            <w:r>
              <w:t>The item's physical branch changes; MBR-9001 receives the pickup message.</w:t>
            </w:r>
          </w:p>
        </w:tc>
      </w:tr>
      <w:tr>
        <w:trPr>
          <w:cantSplit/>
        </w:trPr>
        <w:tc>
          <w:tcPr>
            <w:tcW w:type="dxa" w:w="648"/>
            <w:vAlign w:val="center"/>
            <w:tcMar>
              <w:top w:w="90" w:type="dxa"/>
              <w:bottom w:w="90" w:type="dxa"/>
              <w:left w:w="90" w:type="dxa"/>
              <w:right w:w="90" w:type="dxa"/>
            </w:tcMar>
            <w:shd w:fill="FFFFFF"/>
          </w:tcPr>
          <w:p>
            <w:pPr>
              <w:spacing w:before="0" w:after="40" w:line="240" w:lineRule="auto"/>
              <w:jc w:val="center"/>
            </w:pPr>
            <w:r>
              <w:t>5</w:t>
            </w:r>
          </w:p>
        </w:tc>
        <w:tc>
          <w:tcPr>
            <w:tcW w:type="dxa" w:w="4680"/>
            <w:vAlign w:val="center"/>
            <w:tcMar>
              <w:top w:w="90" w:type="dxa"/>
              <w:bottom w:w="90" w:type="dxa"/>
              <w:left w:w="90" w:type="dxa"/>
              <w:right w:w="90" w:type="dxa"/>
            </w:tcMar>
            <w:shd w:fill="FFFFFF"/>
          </w:tcPr>
          <w:p>
            <w:r>
              <w:t>MBR-9001 checks out TY-9001 through Palmerston Reception. Separately test the linked demonstration patron at the configured kiosk.</w:t>
            </w:r>
          </w:p>
        </w:tc>
        <w:tc>
          <w:tcPr>
            <w:tcW w:type="dxa" w:w="4752"/>
            <w:vAlign w:val="center"/>
            <w:tcMar>
              <w:top w:w="90" w:type="dxa"/>
              <w:bottom w:w="90" w:type="dxa"/>
              <w:left w:w="90" w:type="dxa"/>
              <w:right w:w="90" w:type="dxa"/>
            </w:tcMar>
            <w:shd w:fill="FFFFFF"/>
          </w:tcPr>
          <w:p>
            <w:pPr>
              <w:spacing w:before="0" w:after="40" w:line="240" w:lineRule="auto"/>
            </w:pPr>
            <w:r>
              <w:t>One loan is created; MBR-9001's hold is fulfilled; MBR-9002 keeps waiting.</w:t>
            </w:r>
          </w:p>
        </w:tc>
      </w:tr>
      <w:tr>
        <w:trPr>
          <w:cantSplit/>
        </w:trPr>
        <w:tc>
          <w:tcPr>
            <w:tcW w:type="dxa" w:w="648"/>
            <w:vAlign w:val="center"/>
            <w:tcMar>
              <w:top w:w="90" w:type="dxa"/>
              <w:bottom w:w="90" w:type="dxa"/>
              <w:left w:w="90" w:type="dxa"/>
              <w:right w:w="90" w:type="dxa"/>
            </w:tcMar>
            <w:shd w:fill="F1F4F6"/>
          </w:tcPr>
          <w:p>
            <w:pPr>
              <w:spacing w:before="0" w:after="40" w:line="240" w:lineRule="auto"/>
              <w:jc w:val="center"/>
            </w:pPr>
            <w:r>
              <w:t>6</w:t>
            </w:r>
          </w:p>
        </w:tc>
        <w:tc>
          <w:tcPr>
            <w:tcW w:type="dxa" w:w="4680"/>
            <w:vAlign w:val="center"/>
            <w:tcMar>
              <w:top w:w="90" w:type="dxa"/>
              <w:bottom w:w="90" w:type="dxa"/>
              <w:left w:w="90" w:type="dxa"/>
              <w:right w:w="90" w:type="dxa"/>
            </w:tcMar>
            <w:shd w:fill="F1F4F6"/>
          </w:tcPr>
          <w:p>
            <w:pPr>
              <w:spacing w:before="0" w:after="40" w:line="240" w:lineRule="auto"/>
            </w:pPr>
            <w:r>
              <w:t>MBR-9001 returns the toy in usable condition.</w:t>
            </w:r>
          </w:p>
        </w:tc>
        <w:tc>
          <w:tcPr>
            <w:tcW w:type="dxa" w:w="4752"/>
            <w:vAlign w:val="center"/>
            <w:tcMar>
              <w:top w:w="90" w:type="dxa"/>
              <w:bottom w:w="90" w:type="dxa"/>
              <w:left w:w="90" w:type="dxa"/>
              <w:right w:w="90" w:type="dxa"/>
            </w:tcMar>
            <w:shd w:fill="F1F4F6"/>
          </w:tcPr>
          <w:p>
            <w:r>
              <w:t>MBR-9002 becomes the next allocated member. A pickup notification is logged when the copy is ready at the selected branch.</w:t>
            </w:r>
          </w:p>
        </w:tc>
      </w:tr>
    </w:tbl>
    <w:p>
      <w:pPr>
        <w:spacing w:after="0"/>
      </w:pPr>
      <w:r/>
    </w:p>
    <w:p>
      <w:pPr>
        <w:pStyle w:val="Heading2"/>
        <w:keepNext/>
      </w:pPr>
      <w:r>
        <w:rPr>
          <w:color w:val="000000"/>
          <w:u w:val="none"/>
        </w:rPr>
        <w:t>Integration checks to record</w:t>
      </w:r>
    </w:p>
    <w:p>
      <w:pPr>
        <w:spacing w:after="100"/>
      </w:pPr>
      <w:r>
        <w:t>T01  Attempt kiosk and Reception checkout for the same copy concurrently. Exactly one checkout succeeds and one active loan remains.</w:t>
      </w:r>
    </w:p>
    <w:p>
      <w:pPr>
        <w:spacing w:after="100"/>
      </w:pPr>
      <w:r>
        <w:t>T02  Run notification checks twice on one Darwin business date. Each qualifying event/channel occurs once. Repeat on the next date to verify the expected fine update.</w:t>
      </w:r>
    </w:p>
    <w:p>
      <w:pPr>
        <w:spacing w:after="100"/>
      </w:pPr>
      <w:r>
        <w:t>T03  For a $4.50 fine, collected revenue is $0 before payment and $4.50 afterwards. A repeated payment action leaves the collected total unchanged.</w:t>
      </w:r>
    </w:p>
    <w:p>
      <w:r>
        <w:t>Record requirement, date, branch, inputs, expected/actual result, tester, revision and evidence. Existing lead and member captures remain historical evidence. The 16 October automated tests and synthetic CSV/PDF exports are labelled separately in docs/RELEASE_CHECKS_16OCT.md. InMemory query tests are not SQL Server transaction or VM passes. Final browser, real SQL and VM checks remain visible.</w:t>
      </w:r>
    </w:p>
    <w:p>
      <w:pPr>
        <w:pStyle w:val="Heading1"/>
        <w:keepNext/>
      </w:pPr>
      <w:r>
        <w:rPr>
          <w:color w:val="000000"/>
          <w:u w:val="none"/>
        </w:rPr>
        <w:t>Questions and requirement review</w:t>
      </w:r>
    </w:p>
    <w:p>
      <w:r>
        <w:t>Resolve these questions with the group and seek lecturer clarification where the brief is ambiguous. Record the actual response, respondent, date and resulting requirement change in the notes. Proposed defaults support progress while the questions are open.</w:t>
      </w:r>
    </w:p>
    <w:p>
      <w:pPr>
        <w:spacing w:after="100"/>
      </w:pPr>
      <w:r>
        <w:rPr>
          <w:b/>
        </w:rPr>
        <w:t>Q1</w:t>
      </w:r>
      <w:r>
        <w:t xml:space="preserve">  Does the group accept the family lending focus, three fictional branches and the proposed feature allocation? Each member must state availability and accept their own tasks.</w:t>
      </w:r>
    </w:p>
    <w:p>
      <w:pPr>
        <w:spacing w:after="100"/>
      </w:pPr>
      <w:r>
        <w:t>Q2  Identity login and a unique optional Borrower link are the selected implementation approach; membership-number input alone does not grant private account access. Confirm the ownership-verification process used when staff link an account, the kiosk timeout/reset behaviour, and whether keyboard entry simulating a scanner is sufficient.</w:t>
      </w:r>
    </w:p>
    <w:p>
      <w:pPr>
        <w:spacing w:after="100"/>
      </w:pPr>
      <w:r>
        <w:rPr>
          <w:b w:val="0"/>
        </w:rPr>
        <w:t>Q3  The API uses an external client key kept outside committed source. Operating status currently means service/database health plus configured active branch flags. Confirm with the lecturer/client whether live branch opening hours are required; no approval of this interpretation is inferred.</w:t>
      </w:r>
      <w:r>
        <w:rPr>
          <w:b w:val="0"/>
        </w:rPr>
      </w:r>
    </w:p>
    <w:p>
      <w:pPr>
        <w:spacing w:after="100"/>
      </w:pPr>
      <w:r>
        <w:rPr>
          <w:b/>
        </w:rPr>
        <w:t>Q4</w:t>
      </w:r>
      <w:r>
        <w:t xml:space="preserve">  Should the current 14 day loan period and $1.50 daily fine remain? Proposed default is to preserve them and make date calculation consistent in Darwin time. Confirm any borrowing restrictions for unpaid fines.</w:t>
      </w:r>
    </w:p>
    <w:p>
      <w:pPr>
        <w:spacing w:after="100"/>
      </w:pPr>
      <w:r>
        <w:rPr>
          <w:b/>
        </w:rPr>
        <w:t>Q5</w:t>
      </w:r>
      <w:r>
        <w:t xml:space="preserve">  Are holds on an individual copy acceptable, and when should an uncollected allocation expire? Proposed first build uses copy queues and staff cancellation. A timed pickup expiry can be added after the required queue works.</w:t>
      </w:r>
    </w:p>
    <w:p>
      <w:pPr>
        <w:spacing w:after="100"/>
      </w:pPr>
      <w:r>
        <w:rPr>
          <w:b/>
        </w:rPr>
      </w:r>
      <w:r/>
      <w:r>
        <w:t>Q6  The current CSV utility accepts valid rows and explains skipped invalid rows; accepted rows save together. This replaces the earlier all-or-nothing proposal. Both CSV and PDF manager exports are implemented; final Windows outcomes remain to be recorded.</w:t>
      </w:r>
    </w:p>
    <w:p>
      <w:pPr>
        <w:pStyle w:val="Heading2"/>
        <w:keepNext/>
      </w:pPr>
      <w:r>
        <w:rPr>
          <w:color w:val="000000"/>
          <w:u w:val="none"/>
        </w:rPr>
        <w:t>Review and change record</w:t>
      </w:r>
    </w:p>
    <w:p>
      <w:r>
        <w:t>Kamalpreet coordinates requirements and test records. Each module lead reviews their interfaces and checks. All four members accepted the original agreement on the day it was created and shared; the calendar date is unrecorded. Changes record the reason, affected requirements and tests. AI assistance is acknowledged separately.</w:t>
      </w:r>
    </w:p>
    <w:p>
      <w:r>
        <w:t>The combined release preserves the lead seven-migration database chain and integrates the member contributions. Harsimran's report, Mehakpreet's reflection, Sandesh's report and team minutes are received. Harsimran's 31 hours are confirmed; Mehak's proposed 48-hour correction needs confirmation; Kamalpreet and Sandesh have partial time records. The VM attempt remains unsuccessful and no alternative approval is recorded.</w:t>
      </w:r>
    </w:p>
    <w:p>
      <w:pPr>
        <w:pStyle w:val="Heading2"/>
        <w:keepNext/>
      </w:pPr>
      <w:r>
        <w:rPr>
          <w:color w:val="000000"/>
          <w:u w:val="none"/>
        </w:rPr>
        <w:t>Required portfolio evidence</w:t>
      </w:r>
    </w:p>
    <w:p>
      <w:r>
        <w:t>The final portfolio must also contain the team contract, requirements notes, team approach, project management links with marker read access, manageable billable tasks with hours and allocations, actual meeting minutes, and an honest strengths and weaknesses review.</w:t>
      </w:r>
    </w:p>
    <w:p>
      <w:pPr>
        <w:keepLines/>
      </w:pPr>
      <w:r>
        <w:t>Include a technical clone, install and run manual tested on a virtual machine. All branches follow the same instructions and select their branch where appropriate. Include a patron search manual or video, integration diagrams and user journey maps. Submit the portfolio as PDF and the expanded repository link; update README module navigation, branch seeding and integration testing instructions.</w:t>
      </w:r>
    </w:p>
    <w:p>
      <w:pPr>
        <w:pStyle w:val="Heading2"/>
        <w:keepNext/>
      </w:pPr>
      <w:r>
        <w:rPr>
          <w:color w:val="000000"/>
          <w:u w:val="none"/>
        </w:rPr>
        <w:t>Source references</w:t>
      </w:r>
    </w:p>
    <w:p>
      <w:r>
        <w:t>CDU HIT339 Group Project Management and Horizontal Feature Expansion brief, pages 1 and 2. Selected Assignment 2 source: Kamalpreet S389008 TopEndLibraryHub, including the models, LoansController and startup database initializer. Lecturer announcement supplied in the project discussion: requirements questions, product presentation, acted on UX feedback, breadth and depth.</w:t>
      </w:r>
    </w:p>
    <w:p>
      <w:pPr>
        <w:pStyle w:val="Heading1"/>
        <w:keepNext/>
      </w:pPr>
      <w:r>
        <w:rPr>
          <w:color w:val="000000"/>
        </w:rPr>
        <w:t>Implementation decisions recorded on 14 October</w:t>
      </w:r>
    </w:p>
    <w:p>
      <w:pPr>
        <w:spacing w:after="120"/>
      </w:pPr>
      <w:r>
        <w:t>The earlier a1e8190/dbbc540/3b925ee checkpoint records a successful Windows build and seven applied migrations. The 16 October combined release adds corrected importer/report logic and production-code regression tests. Its actual final revision and Windows outcomes must be recorded after import; earlier screenshots do not establish that the new release was run.</w:t>
      </w:r>
    </w:p>
    <w:p>
      <w:pPr>
        <w:pStyle w:val="Heading2"/>
        <w:keepNext/>
      </w:pPr>
      <w:r>
        <w:rPr>
          <w:color w:val="000000"/>
        </w:rPr>
        <w:t>Pickup branch relationship</w:t>
      </w:r>
    </w:p>
    <w:p>
      <w:r>
        <w:t>Kamalpreet generated LinkHoldsToPickupBranches: the reviewed migration adds the pickup index and restricted FK to Branches.Id. All seven migrations are applied. The shared handover uses that branch relationship; Palmerston receipt and pickup records are now matched to the inspected screenshots.</w:t>
      </w:r>
    </w:p>
    <w:p>
      <w:pPr>
        <w:pStyle w:val="Heading2"/>
        <w:keepNext/>
      </w:pPr>
      <w:r>
        <w:rPr>
          <w:color w:val="000000"/>
        </w:rPr>
        <w:t>Reported hold test completion</w:t>
      </w:r>
    </w:p>
    <w:p>
      <w:pPr>
        <w:spacing w:after="120"/>
      </w:pPr>
      <w:r>
        <w:t>The initial five images verify duplicate rejection, Asha position 1 / Noah position 2 and cancellation promoting Noah while retaining Asha history. Later images show the damaged queue, allocation/no early notice, protected transfer errors, receipt, pickup Email/SMS and collection/next-family cards. All images have descriptive names and original-name mappings in docs/screenshots/README.md.</w:t>
      </w:r>
    </w:p>
    <w:p>
      <w:pPr>
        <w:pStyle w:val="Heading2"/>
        <w:keepNext/>
      </w:pPr>
      <w:r>
        <w:rPr>
          <w:color w:val="000000"/>
        </w:rPr>
        <w:t>Membership validation improvement</w:t>
      </w:r>
    </w:p>
    <w:p>
      <w:r>
        <w:t>The registration field visually displayed uppercase while its original pattern required uppercase underlying input. The tester confirmed lowercase typing caused an error and uppercase re-entry succeeded. The new ^[Mm][Bb][Rr]-[0-9]{4}$ pattern is verified in dbbc540; it accepts letter case while preserving format and uppercase storage. Specific lowercase registration, differently cased duplicate and malformed-input runtime retests remain pending.</w:t>
      </w:r>
    </w:p>
    <w:p>
      <w:pPr>
        <w:pStyle w:val="Heading2"/>
        <w:keepNext/>
      </w:pPr>
      <w:r>
        <w:rPr>
          <w:color w:val="000000"/>
        </w:rPr>
        <w:t>Record and evidence maintenance</w:t>
      </w:r>
    </w:p>
    <w:p>
      <w:pPr>
        <w:spacing w:after="120"/>
      </w:pPr>
      <w:r>
        <w:t>All four members accepted the original agreement on creation/sharing day; the calendar date was not recorded. Team minutes and all four individual accounts are available. Final portfolio work is to confirm outstanding time entries, run the Windows/VM checks or obtain an approved alternative, record the final source revision and assemble the required single PDF.</w:t>
      </w:r>
    </w:p>
    <w:sectPr w:rsidR="00FC693F" w:rsidRPr="0006063C" w:rsidSect="00034616">
      <w:headerReference w:type="default" r:id="rId9"/>
      <w:footerReference w:type="default" r:id="rId10"/>
      <w:footerReference w:type="first" r:id="rId13"/>
      <w:footerReference w:type="even" r:id="rId14"/>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Requirements version 0.8   |   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HIT339 GROUP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Calibri" w:hAnsi="Calibri"/>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color w:val="000000"/>
      <w:spacing w:val="5"/>
      <w:kern w:val="28"/>
      <w:sz w:val="4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amal03102006/HIT339_Group8_TopEndLibraryHub/tree/feature/holds-notifications" TargetMode="External"/><Relationship Id="rId12" Type="http://schemas.openxmlformats.org/officeDocument/2006/relationships/hyperlink" Target="https://github.com/users/Kamal03102006/projects/1/views/2" TargetMode="Externa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TopEndLibraryHub requirements</dc:title>
  <dc:subject>HIT339 Group 8 requirements and proposed acceptance checks</dc:subject>
  <dc:creator>HIT339 Group 8</dc:creator>
  <cp:keywords>HIT339, Group 8, requirements, TopEndLibraryHub</cp:keywords>
  <dc:description>generated by python-docx</dc:description>
  <cp:lastModifiedBy/>
  <cp:revision>1</cp:revision>
  <dcterms:created xsi:type="dcterms:W3CDTF">2013-12-23T23:15:00Z</dcterms:created>
  <dcterms:modified xsi:type="dcterms:W3CDTF">2026-10-14T14:19:00Z</dcterms:modified>
  <cp:category/>
</cp:coreProperties>
</file>