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TopEndLibraryHub requirements</w:t>
      </w:r>
    </w:p>
    <w:p>
      <w:r>
        <w:t>Group 8   |   HIT339 Distributed Development   |   3 October 2026</w:t>
      </w:r>
    </w:p>
    <w:p>
      <w:r>
        <w:rPr>
          <w:b/>
        </w:rPr>
        <w:t>Version 0.1</w:t>
      </w:r>
      <w:r>
        <w:t xml:space="preserve">   Status Draft for group review</w:t>
      </w:r>
    </w:p>
    <w:p>
      <w:r>
        <w:t>We propose a family lending service for books, music and toys across three fictional demonstration branches: Darwin Hub, Palmerston Hub and Casuarina Hub. Families can search stock, queue for an unavailable item and collect it at a chosen branch. Staff can repair, transfer and lend that item without losing the queue order. Managers can trace borrowing, inventory condition and money received.</w:t>
      </w:r>
    </w:p>
    <w:p>
      <w:r>
        <w:t>This document defines the seven required expansions and the checks we will use to decide whether they work. The assignment brief defines the required scope. Routes, branch names, business rules and owners below are proposed choices for the group to review.</w:t>
      </w:r>
    </w:p>
    <w:p>
      <w:pPr>
        <w:pStyle w:val="Heading2"/>
      </w:pPr>
      <w:r>
        <w:t>Scope and proposed ownership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92"/>
        <w:gridCol w:w="6696"/>
        <w:gridCol w:w="2592"/>
      </w:tblGrid>
      <w:tr>
        <w:trPr>
          <w:tblHeader w:val="true"/>
          <w:cantSplit/>
        </w:trPr>
        <w:tc>
          <w:tcPr>
            <w:tcW w:type="dxa" w:w="792"/>
            <w:vAlign w:val="center"/>
            <w:tcMar>
              <w:top w:w="90" w:type="dxa"/>
              <w:bottom w:w="90" w:type="dxa"/>
              <w:left w:w="90" w:type="dxa"/>
              <w:right w:w="90" w:type="dxa"/>
            </w:tcMar>
            <w:shd w:fill="23465F"/>
          </w:tcPr>
          <w:p>
            <w:pPr>
              <w:spacing w:before="0" w:after="40" w:line="240" w:lineRule="auto"/>
              <w:jc w:val="center"/>
            </w:pPr>
            <w:r>
              <w:rPr>
                <w:b/>
                <w:color w:val="FFFFFF"/>
                <w:sz w:val="20"/>
              </w:rPr>
              <w:t>ID</w:t>
            </w:r>
          </w:p>
        </w:tc>
        <w:tc>
          <w:tcPr>
            <w:tcW w:type="dxa" w:w="6696"/>
            <w:vAlign w:val="center"/>
            <w:tcMar>
              <w:top w:w="90" w:type="dxa"/>
              <w:bottom w:w="90" w:type="dxa"/>
              <w:left w:w="90" w:type="dxa"/>
              <w:right w:w="90" w:type="dxa"/>
            </w:tcMar>
            <w:shd w:fill="23465F"/>
          </w:tcPr>
          <w:p>
            <w:pPr>
              <w:spacing w:before="0" w:after="40" w:line="240" w:lineRule="auto"/>
            </w:pPr>
            <w:r>
              <w:rPr>
                <w:b/>
                <w:color w:val="FFFFFF"/>
                <w:sz w:val="20"/>
              </w:rPr>
              <w:t>Required module</w:t>
            </w:r>
          </w:p>
        </w:tc>
        <w:tc>
          <w:tcPr>
            <w:tcW w:type="dxa" w:w="2592"/>
            <w:vAlign w:val="center"/>
            <w:tcMar>
              <w:top w:w="90" w:type="dxa"/>
              <w:bottom w:w="90" w:type="dxa"/>
              <w:left w:w="90" w:type="dxa"/>
              <w:right w:w="90" w:type="dxa"/>
            </w:tcMar>
            <w:shd w:fill="23465F"/>
          </w:tcPr>
          <w:p>
            <w:pPr>
              <w:spacing w:before="0" w:after="40" w:line="240" w:lineRule="auto"/>
            </w:pPr>
            <w:r>
              <w:rPr>
                <w:b/>
                <w:color w:val="FFFFFF"/>
                <w:sz w:val="20"/>
              </w:rPr>
              <w:t>Proposed lead</w:t>
            </w:r>
          </w:p>
        </w:tc>
      </w:tr>
      <w:tr>
        <w:trPr>
          <w:cantSplit/>
        </w:trPr>
        <w:tc>
          <w:tcPr>
            <w:tcW w:type="dxa" w:w="792"/>
            <w:vAlign w:val="center"/>
            <w:tcMar>
              <w:top w:w="90" w:type="dxa"/>
              <w:bottom w:w="90" w:type="dxa"/>
              <w:left w:w="90" w:type="dxa"/>
              <w:right w:w="90" w:type="dxa"/>
            </w:tcMar>
            <w:shd w:fill="FFFFFF"/>
          </w:tcPr>
          <w:p>
            <w:pPr>
              <w:spacing w:before="0" w:after="40" w:line="240" w:lineRule="auto"/>
              <w:jc w:val="center"/>
            </w:pPr>
            <w:r>
              <w:rPr>
                <w:b w:val="0"/>
                <w:color w:val="000000"/>
                <w:sz w:val="20"/>
              </w:rPr>
              <w:t>R01</w:t>
            </w:r>
          </w:p>
        </w:tc>
        <w:tc>
          <w:tcPr>
            <w:tcW w:type="dxa" w:w="6696"/>
            <w:vAlign w:val="center"/>
            <w:tcMar>
              <w:top w:w="90" w:type="dxa"/>
              <w:bottom w:w="90" w:type="dxa"/>
              <w:left w:w="90" w:type="dxa"/>
              <w:right w:w="90" w:type="dxa"/>
            </w:tcMar>
            <w:shd w:fill="FFFFFF"/>
          </w:tcPr>
          <w:p>
            <w:pPr>
              <w:spacing w:before="0" w:after="40" w:line="240" w:lineRule="auto"/>
            </w:pPr>
            <w:r>
              <w:rPr>
                <w:b w:val="0"/>
                <w:color w:val="000000"/>
                <w:sz w:val="20"/>
              </w:rPr>
              <w:t>Dedicated touch friendly self service kiosk</w:t>
            </w:r>
          </w:p>
        </w:tc>
        <w:tc>
          <w:tcPr>
            <w:tcW w:type="dxa" w:w="2592"/>
            <w:vAlign w:val="center"/>
            <w:tcMar>
              <w:top w:w="90" w:type="dxa"/>
              <w:bottom w:w="90" w:type="dxa"/>
              <w:left w:w="90" w:type="dxa"/>
              <w:right w:w="90" w:type="dxa"/>
            </w:tcMar>
            <w:shd w:fill="FFFFFF"/>
          </w:tcPr>
          <w:p>
            <w:pPr>
              <w:spacing w:before="0" w:after="40" w:line="240" w:lineRule="auto"/>
            </w:pPr>
            <w:r>
              <w:rPr>
                <w:b w:val="0"/>
                <w:color w:val="000000"/>
                <w:sz w:val="20"/>
              </w:rPr>
              <w:t>Mehakpreet</w:t>
            </w:r>
          </w:p>
        </w:tc>
      </w:tr>
      <w:tr>
        <w:trPr>
          <w:cantSplit/>
        </w:trPr>
        <w:tc>
          <w:tcPr>
            <w:tcW w:type="dxa" w:w="792"/>
            <w:vAlign w:val="center"/>
            <w:tcMar>
              <w:top w:w="90" w:type="dxa"/>
              <w:bottom w:w="90" w:type="dxa"/>
              <w:left w:w="90" w:type="dxa"/>
              <w:right w:w="90" w:type="dxa"/>
            </w:tcMar>
            <w:shd w:fill="F1F4F6"/>
          </w:tcPr>
          <w:p>
            <w:pPr>
              <w:spacing w:before="0" w:after="40" w:line="240" w:lineRule="auto"/>
              <w:jc w:val="center"/>
            </w:pPr>
            <w:r>
              <w:rPr>
                <w:b w:val="0"/>
                <w:color w:val="000000"/>
                <w:sz w:val="20"/>
              </w:rPr>
              <w:t>R02</w:t>
            </w:r>
          </w:p>
        </w:tc>
        <w:tc>
          <w:tcPr>
            <w:tcW w:type="dxa" w:w="6696"/>
            <w:vAlign w:val="center"/>
            <w:tcMar>
              <w:top w:w="90" w:type="dxa"/>
              <w:bottom w:w="90" w:type="dxa"/>
              <w:left w:w="90" w:type="dxa"/>
              <w:right w:w="90" w:type="dxa"/>
            </w:tcMar>
            <w:shd w:fill="F1F4F6"/>
          </w:tcPr>
          <w:p>
            <w:pPr>
              <w:spacing w:before="0" w:after="40" w:line="240" w:lineRule="auto"/>
            </w:pPr>
            <w:r>
              <w:rPr>
                <w:b w:val="0"/>
                <w:color w:val="000000"/>
                <w:sz w:val="20"/>
              </w:rPr>
              <w:t>Secure read only catalogue API</w:t>
            </w:r>
          </w:p>
        </w:tc>
        <w:tc>
          <w:tcPr>
            <w:tcW w:type="dxa" w:w="2592"/>
            <w:vAlign w:val="center"/>
            <w:tcMar>
              <w:top w:w="90" w:type="dxa"/>
              <w:bottom w:w="90" w:type="dxa"/>
              <w:left w:w="90" w:type="dxa"/>
              <w:right w:w="90" w:type="dxa"/>
            </w:tcMar>
            <w:shd w:fill="F1F4F6"/>
          </w:tcPr>
          <w:p>
            <w:pPr>
              <w:spacing w:before="0" w:after="40" w:line="240" w:lineRule="auto"/>
            </w:pPr>
            <w:r>
              <w:rPr>
                <w:b w:val="0"/>
                <w:color w:val="000000"/>
                <w:sz w:val="20"/>
              </w:rPr>
              <w:t>Mehakpreet</w:t>
            </w:r>
          </w:p>
        </w:tc>
      </w:tr>
      <w:tr>
        <w:trPr>
          <w:cantSplit/>
        </w:trPr>
        <w:tc>
          <w:tcPr>
            <w:tcW w:type="dxa" w:w="792"/>
            <w:vAlign w:val="center"/>
            <w:tcMar>
              <w:top w:w="90" w:type="dxa"/>
              <w:bottom w:w="90" w:type="dxa"/>
              <w:left w:w="90" w:type="dxa"/>
              <w:right w:w="90" w:type="dxa"/>
            </w:tcMar>
            <w:shd w:fill="FFFFFF"/>
          </w:tcPr>
          <w:p>
            <w:pPr>
              <w:spacing w:before="0" w:after="40" w:line="240" w:lineRule="auto"/>
              <w:jc w:val="center"/>
            </w:pPr>
            <w:r>
              <w:rPr>
                <w:b w:val="0"/>
                <w:color w:val="000000"/>
                <w:sz w:val="20"/>
              </w:rPr>
              <w:t>R03</w:t>
            </w:r>
          </w:p>
        </w:tc>
        <w:tc>
          <w:tcPr>
            <w:tcW w:type="dxa" w:w="6696"/>
            <w:vAlign w:val="center"/>
            <w:tcMar>
              <w:top w:w="90" w:type="dxa"/>
              <w:bottom w:w="90" w:type="dxa"/>
              <w:left w:w="90" w:type="dxa"/>
              <w:right w:w="90" w:type="dxa"/>
            </w:tcMar>
            <w:shd w:fill="FFFFFF"/>
          </w:tcPr>
          <w:p>
            <w:pPr>
              <w:spacing w:before="0" w:after="40" w:line="240" w:lineRule="auto"/>
            </w:pPr>
            <w:r>
              <w:rPr>
                <w:b w:val="0"/>
                <w:color w:val="000000"/>
                <w:sz w:val="20"/>
              </w:rPr>
              <w:t>Automated simulated email or SMS notifications</w:t>
            </w:r>
          </w:p>
        </w:tc>
        <w:tc>
          <w:tcPr>
            <w:tcW w:type="dxa" w:w="2592"/>
            <w:vAlign w:val="center"/>
            <w:tcMar>
              <w:top w:w="90" w:type="dxa"/>
              <w:bottom w:w="90" w:type="dxa"/>
              <w:left w:w="90" w:type="dxa"/>
              <w:right w:w="90" w:type="dxa"/>
            </w:tcMar>
            <w:shd w:fill="FFFFFF"/>
          </w:tcPr>
          <w:p>
            <w:pPr>
              <w:spacing w:before="0" w:after="40" w:line="240" w:lineRule="auto"/>
            </w:pPr>
            <w:r>
              <w:rPr>
                <w:b w:val="0"/>
                <w:color w:val="000000"/>
                <w:sz w:val="20"/>
              </w:rPr>
              <w:t>Kamalpreet</w:t>
            </w:r>
          </w:p>
        </w:tc>
      </w:tr>
      <w:tr>
        <w:trPr>
          <w:cantSplit/>
        </w:trPr>
        <w:tc>
          <w:tcPr>
            <w:tcW w:type="dxa" w:w="792"/>
            <w:vAlign w:val="center"/>
            <w:tcMar>
              <w:top w:w="90" w:type="dxa"/>
              <w:bottom w:w="90" w:type="dxa"/>
              <w:left w:w="90" w:type="dxa"/>
              <w:right w:w="90" w:type="dxa"/>
            </w:tcMar>
            <w:shd w:fill="F1F4F6"/>
          </w:tcPr>
          <w:p>
            <w:pPr>
              <w:spacing w:before="0" w:after="40" w:line="240" w:lineRule="auto"/>
              <w:jc w:val="center"/>
            </w:pPr>
            <w:r>
              <w:rPr>
                <w:b w:val="0"/>
                <w:color w:val="000000"/>
                <w:sz w:val="20"/>
              </w:rPr>
              <w:t>R04</w:t>
            </w:r>
          </w:p>
        </w:tc>
        <w:tc>
          <w:tcPr>
            <w:tcW w:type="dxa" w:w="6696"/>
            <w:vAlign w:val="center"/>
            <w:tcMar>
              <w:top w:w="90" w:type="dxa"/>
              <w:bottom w:w="90" w:type="dxa"/>
              <w:left w:w="90" w:type="dxa"/>
              <w:right w:w="90" w:type="dxa"/>
            </w:tcMar>
            <w:shd w:fill="F1F4F6"/>
          </w:tcPr>
          <w:p>
            <w:pPr>
              <w:spacing w:before="0" w:after="40" w:line="240" w:lineRule="auto"/>
            </w:pPr>
            <w:r>
              <w:rPr>
                <w:b w:val="0"/>
                <w:color w:val="000000"/>
                <w:sz w:val="20"/>
              </w:rPr>
              <w:t>Branches, reception desks and item transfers</w:t>
            </w:r>
          </w:p>
        </w:tc>
        <w:tc>
          <w:tcPr>
            <w:tcW w:type="dxa" w:w="2592"/>
            <w:vAlign w:val="center"/>
            <w:tcMar>
              <w:top w:w="90" w:type="dxa"/>
              <w:bottom w:w="90" w:type="dxa"/>
              <w:left w:w="90" w:type="dxa"/>
              <w:right w:w="90" w:type="dxa"/>
            </w:tcMar>
            <w:shd w:fill="F1F4F6"/>
          </w:tcPr>
          <w:p>
            <w:pPr>
              <w:spacing w:before="0" w:after="40" w:line="240" w:lineRule="auto"/>
            </w:pPr>
            <w:r>
              <w:rPr>
                <w:b w:val="0"/>
                <w:color w:val="000000"/>
                <w:sz w:val="20"/>
              </w:rPr>
              <w:t>Harsimran</w:t>
            </w:r>
          </w:p>
        </w:tc>
      </w:tr>
      <w:tr>
        <w:trPr>
          <w:cantSplit/>
        </w:trPr>
        <w:tc>
          <w:tcPr>
            <w:tcW w:type="dxa" w:w="792"/>
            <w:vAlign w:val="center"/>
            <w:tcMar>
              <w:top w:w="90" w:type="dxa"/>
              <w:bottom w:w="90" w:type="dxa"/>
              <w:left w:w="90" w:type="dxa"/>
              <w:right w:w="90" w:type="dxa"/>
            </w:tcMar>
            <w:shd w:fill="FFFFFF"/>
          </w:tcPr>
          <w:p>
            <w:pPr>
              <w:spacing w:before="0" w:after="40" w:line="240" w:lineRule="auto"/>
              <w:jc w:val="center"/>
            </w:pPr>
            <w:r>
              <w:rPr>
                <w:b w:val="0"/>
                <w:color w:val="000000"/>
                <w:sz w:val="20"/>
              </w:rPr>
              <w:t>R05</w:t>
            </w:r>
          </w:p>
        </w:tc>
        <w:tc>
          <w:tcPr>
            <w:tcW w:type="dxa" w:w="6696"/>
            <w:vAlign w:val="center"/>
            <w:tcMar>
              <w:top w:w="90" w:type="dxa"/>
              <w:bottom w:w="90" w:type="dxa"/>
              <w:left w:w="90" w:type="dxa"/>
              <w:right w:w="90" w:type="dxa"/>
            </w:tcMar>
            <w:shd w:fill="FFFFFF"/>
          </w:tcPr>
          <w:p>
            <w:pPr>
              <w:spacing w:before="0" w:after="40" w:line="240" w:lineRule="auto"/>
            </w:pPr>
            <w:r>
              <w:rPr>
                <w:b w:val="0"/>
                <w:color w:val="000000"/>
                <w:sz w:val="20"/>
              </w:rPr>
              <w:t>FIFO holds on borrowed and damaged items</w:t>
            </w:r>
          </w:p>
        </w:tc>
        <w:tc>
          <w:tcPr>
            <w:tcW w:type="dxa" w:w="2592"/>
            <w:vAlign w:val="center"/>
            <w:tcMar>
              <w:top w:w="90" w:type="dxa"/>
              <w:bottom w:w="90" w:type="dxa"/>
              <w:left w:w="90" w:type="dxa"/>
              <w:right w:w="90" w:type="dxa"/>
            </w:tcMar>
            <w:shd w:fill="FFFFFF"/>
          </w:tcPr>
          <w:p>
            <w:pPr>
              <w:spacing w:before="0" w:after="40" w:line="240" w:lineRule="auto"/>
            </w:pPr>
            <w:r>
              <w:rPr>
                <w:b w:val="0"/>
                <w:color w:val="000000"/>
                <w:sz w:val="20"/>
              </w:rPr>
              <w:t>Kamalpreet</w:t>
            </w:r>
          </w:p>
        </w:tc>
      </w:tr>
      <w:tr>
        <w:trPr>
          <w:cantSplit/>
        </w:trPr>
        <w:tc>
          <w:tcPr>
            <w:tcW w:type="dxa" w:w="792"/>
            <w:vAlign w:val="center"/>
            <w:tcMar>
              <w:top w:w="90" w:type="dxa"/>
              <w:bottom w:w="90" w:type="dxa"/>
              <w:left w:w="90" w:type="dxa"/>
              <w:right w:w="90" w:type="dxa"/>
            </w:tcMar>
            <w:shd w:fill="F1F4F6"/>
          </w:tcPr>
          <w:p>
            <w:pPr>
              <w:spacing w:before="0" w:after="40" w:line="240" w:lineRule="auto"/>
              <w:jc w:val="center"/>
            </w:pPr>
            <w:r>
              <w:rPr>
                <w:b w:val="0"/>
                <w:color w:val="000000"/>
                <w:sz w:val="20"/>
              </w:rPr>
              <w:t>R06</w:t>
            </w:r>
          </w:p>
        </w:tc>
        <w:tc>
          <w:tcPr>
            <w:tcW w:type="dxa" w:w="6696"/>
            <w:vAlign w:val="center"/>
            <w:tcMar>
              <w:top w:w="90" w:type="dxa"/>
              <w:bottom w:w="90" w:type="dxa"/>
              <w:left w:w="90" w:type="dxa"/>
              <w:right w:w="90" w:type="dxa"/>
            </w:tcMar>
            <w:shd w:fill="F1F4F6"/>
          </w:tcPr>
          <w:p>
            <w:pPr>
              <w:spacing w:before="0" w:after="40" w:line="240" w:lineRule="auto"/>
            </w:pPr>
            <w:r>
              <w:rPr>
                <w:b w:val="0"/>
                <w:color w:val="000000"/>
                <w:sz w:val="20"/>
              </w:rPr>
              <w:t>Administrative CSV importer or mock metadata provider</w:t>
            </w:r>
          </w:p>
        </w:tc>
        <w:tc>
          <w:tcPr>
            <w:tcW w:type="dxa" w:w="2592"/>
            <w:vAlign w:val="center"/>
            <w:tcMar>
              <w:top w:w="90" w:type="dxa"/>
              <w:bottom w:w="90" w:type="dxa"/>
              <w:left w:w="90" w:type="dxa"/>
              <w:right w:w="90" w:type="dxa"/>
            </w:tcMar>
            <w:shd w:fill="F1F4F6"/>
          </w:tcPr>
          <w:p>
            <w:pPr>
              <w:spacing w:before="0" w:after="40" w:line="240" w:lineRule="auto"/>
            </w:pPr>
            <w:r>
              <w:rPr>
                <w:b w:val="0"/>
                <w:color w:val="000000"/>
                <w:sz w:val="20"/>
              </w:rPr>
              <w:t>Sandesh</w:t>
            </w:r>
          </w:p>
        </w:tc>
      </w:tr>
      <w:tr>
        <w:trPr>
          <w:cantSplit/>
        </w:trPr>
        <w:tc>
          <w:tcPr>
            <w:tcW w:type="dxa" w:w="792"/>
            <w:vAlign w:val="center"/>
            <w:tcMar>
              <w:top w:w="90" w:type="dxa"/>
              <w:bottom w:w="90" w:type="dxa"/>
              <w:left w:w="90" w:type="dxa"/>
              <w:right w:w="90" w:type="dxa"/>
            </w:tcMar>
            <w:shd w:fill="FFFFFF"/>
          </w:tcPr>
          <w:p>
            <w:pPr>
              <w:spacing w:before="0" w:after="40" w:line="240" w:lineRule="auto"/>
              <w:jc w:val="center"/>
            </w:pPr>
            <w:r>
              <w:rPr>
                <w:b w:val="0"/>
                <w:color w:val="000000"/>
                <w:sz w:val="20"/>
              </w:rPr>
              <w:t>R07</w:t>
            </w:r>
          </w:p>
        </w:tc>
        <w:tc>
          <w:tcPr>
            <w:tcW w:type="dxa" w:w="6696"/>
            <w:vAlign w:val="center"/>
            <w:tcMar>
              <w:top w:w="90" w:type="dxa"/>
              <w:bottom w:w="90" w:type="dxa"/>
              <w:left w:w="90" w:type="dxa"/>
              <w:right w:w="90" w:type="dxa"/>
            </w:tcMar>
            <w:shd w:fill="FFFFFF"/>
          </w:tcPr>
          <w:p>
            <w:pPr>
              <w:spacing w:before="0" w:after="40" w:line="240" w:lineRule="auto"/>
            </w:pPr>
            <w:r>
              <w:rPr>
                <w:b w:val="0"/>
                <w:color w:val="000000"/>
                <w:sz w:val="20"/>
              </w:rPr>
              <w:t>Manager analytics and CSV/PDF exports</w:t>
            </w:r>
          </w:p>
        </w:tc>
        <w:tc>
          <w:tcPr>
            <w:tcW w:type="dxa" w:w="2592"/>
            <w:vAlign w:val="center"/>
            <w:tcMar>
              <w:top w:w="90" w:type="dxa"/>
              <w:bottom w:w="90" w:type="dxa"/>
              <w:left w:w="90" w:type="dxa"/>
              <w:right w:w="90" w:type="dxa"/>
            </w:tcMar>
            <w:shd w:fill="FFFFFF"/>
          </w:tcPr>
          <w:p>
            <w:pPr>
              <w:spacing w:before="0" w:after="40" w:line="240" w:lineRule="auto"/>
            </w:pPr>
            <w:r>
              <w:rPr>
                <w:b w:val="0"/>
                <w:color w:val="000000"/>
                <w:sz w:val="20"/>
              </w:rPr>
              <w:t>Sandesh</w:t>
            </w:r>
          </w:p>
        </w:tc>
      </w:tr>
    </w:tbl>
    <w:p>
      <w:pPr>
        <w:spacing w:after="0"/>
      </w:pPr>
      <w:r/>
    </w:p>
    <w:p>
      <w:pPr>
        <w:pStyle w:val="Heading2"/>
      </w:pPr>
      <w:r>
        <w:t>Baseline and implementation approach</w:t>
      </w:r>
    </w:p>
    <w:p>
      <w:r>
        <w:t>We have selected Kamalpreet's Assignment 2 .NET 10 MVC solution. It already contains books, music, toys, borrowers, loans, Identity staff roles, a public catalogue and a manager dashboard. We will extend these controllers, views and database models within the existing solution. Each feature will use shared lending and availability rules.</w:t>
      </w:r>
    </w:p>
    <w:p>
      <w:r>
        <w:t>Build, startup and the separate Group 8 database setup have been reported complete by the lead. Functional and integration checks in this document are planned work. The technical installation guide will be verified on a virtual machine.</w:t>
      </w:r>
    </w:p>
    <w:p>
      <w:pPr>
        <w:spacing w:after="80"/>
      </w:pPr>
      <w:hyperlink r:id="rId11">
        <w:r>
          <w:rPr>
            <w:color w:val="17456B"/>
            <w:u w:val="single"/>
          </w:rPr>
          <w:t>Source repository</w:t>
        </w:r>
      </w:hyperlink>
    </w:p>
    <w:p>
      <w:pPr>
        <w:spacing w:after="80"/>
      </w:pPr>
      <w:hyperlink r:id="rId12">
        <w:r>
          <w:rPr>
            <w:color w:val="17456B"/>
            <w:u w:val="single"/>
          </w:rPr>
          <w:t>Project task board</w:t>
        </w:r>
      </w:hyperlink>
    </w:p>
    <w:p>
      <w:r>
        <w:br w:type="page"/>
      </w:r>
    </w:p>
    <w:p>
      <w:pPr>
        <w:pStyle w:val="Heading1"/>
      </w:pPr>
      <w:r>
        <w:t>Patron access channels</w:t>
      </w:r>
    </w:p>
    <w:p>
      <w:pPr>
        <w:pStyle w:val="Heading2"/>
      </w:pPr>
      <w:r>
        <w:t>R01 Self service kiosk</w:t>
      </w:r>
    </w:p>
    <w:p>
      <w:r>
        <w:t>Required outcome: Patrons use a dedicated, simplified touch interface to scan a library code, borrow items and view their account summary. Proposed route: /Kiosk. The kiosk is configured for its physical branch.</w:t>
      </w:r>
    </w:p>
    <w:p>
      <w:r>
        <w:t>We propose separate inputs for the borrower MembershipNumber and the item LibraryCode, with scanner and keyboard entry. Account access will include a verification step agreed in Q2. The summary will show the patron's active loans, due dates, fines and hold progress.</w:t>
      </w:r>
    </w:p>
    <w:p>
      <w:pPr>
        <w:spacing w:after="100"/>
      </w:pPr>
      <w:r>
        <w:rPr>
          <w:b/>
        </w:rPr>
        <w:t>K01</w:t>
      </w:r>
      <w:r>
        <w:t xml:space="preserve">  An active patron at the configured branch scans an eligible item and confirms checkout. Exactly one active loan is created, the item becomes borrowed and a receipt notification is logged.</w:t>
      </w:r>
    </w:p>
    <w:p>
      <w:pPr>
        <w:spacing w:after="100"/>
      </w:pPr>
      <w:r>
        <w:rPr>
          <w:b/>
        </w:rPr>
        <w:t>K02</w:t>
      </w:r>
      <w:r>
        <w:t xml:space="preserve">  Blank or unknown codes, inactive borrowers, damaged items, stock at another branch, items in transit and items allocated to another patron produce a clear message without a new loan.</w:t>
      </w:r>
    </w:p>
    <w:p>
      <w:pPr>
        <w:spacing w:after="100"/>
      </w:pPr>
      <w:r>
        <w:rPr>
          <w:b/>
        </w:rPr>
        <w:t>K03</w:t>
      </w:r>
      <w:r>
        <w:t xml:space="preserve">  The patron can complete search, checkout and account review without staff menus. Ending the session clears account details. After the proposed two minute inactivity limit, the next visitor sees a fresh start screen.</w:t>
      </w:r>
    </w:p>
    <w:p>
      <w:pPr>
        <w:spacing w:after="100"/>
      </w:pPr>
      <w:r>
        <w:rPr>
          <w:b/>
        </w:rPr>
        <w:t>K04</w:t>
      </w:r>
      <w:r>
        <w:t xml:space="preserve">  The main controls support touch and keyboard use, show field labels and retain focus for scanning. Record real patron testing, the difficulty observed and the change made in response.</w:t>
      </w:r>
    </w:p>
    <w:p>
      <w:pPr>
        <w:pStyle w:val="Heading2"/>
      </w:pPr>
      <w:r>
        <w:t>R02 Secure read only API</w:t>
      </w:r>
    </w:p>
    <w:p>
      <w:r>
        <w:t>Required outcome: External applications can query available catalogue items, categories and operating status through authenticated REST endpoints. Proposed routes are GET /api/v1/items, /api/v1/categories and /api/v1/status. Authentication details are resolved in Q3.</w:t>
      </w:r>
    </w:p>
    <w:p>
      <w:r>
        <w:t>Item queries will support branch and category filters. Operating status will identify each demonstration branch and its configured open, closed or maintenance status. A copy allocated for pickup or in transit is excluded from the generally available stock.</w:t>
      </w:r>
    </w:p>
    <w:p>
      <w:pPr>
        <w:spacing w:after="100"/>
      </w:pPr>
      <w:r>
        <w:rPr>
          <w:b/>
        </w:rPr>
        <w:t>A01</w:t>
      </w:r>
      <w:r>
        <w:t xml:space="preserve">  A request with valid credentials returns JSON for each of the three data areas. Filtered item results contain only eligible stock at the requested branch and category.</w:t>
      </w:r>
    </w:p>
    <w:p>
      <w:pPr>
        <w:spacing w:after="100"/>
      </w:pPr>
      <w:r>
        <w:rPr>
          <w:b/>
        </w:rPr>
        <w:t>A02</w:t>
      </w:r>
      <w:r>
        <w:t xml:space="preserve">  Missing or invalid credentials receive an authentication error. Attempts to change data through the API are rejected. Responses and logs reveal no credentials or borrower account information.</w:t>
      </w:r>
    </w:p>
    <w:p>
      <w:pPr>
        <w:spacing w:after="100"/>
      </w:pPr>
      <w:r>
        <w:rPr>
          <w:b/>
        </w:rPr>
        <w:t>A03</w:t>
      </w:r>
      <w:r>
        <w:t xml:space="preserve">  README examples explain authentication, filters, sample responses and errors. Repeat an item query before checkout, after checkout and after an unreserved return to prove stock availability changes correctly.</w:t>
      </w:r>
    </w:p>
    <w:p>
      <w:pPr>
        <w:pStyle w:val="Heading2"/>
      </w:pPr>
      <w:r>
        <w:t>Patron search guide</w:t>
      </w:r>
    </w:p>
    <w:p>
      <w:r>
        <w:t>Keep the public catalogue and document its search capabilities for patrons. The expanded search will make item type, branch and availability understandable. The guide will use the final interface and include an unavailable toy example so patrons know how to request a hold.</w:t>
      </w:r>
    </w:p>
    <w:p>
      <w:r>
        <w:br w:type="page"/>
      </w:r>
    </w:p>
    <w:p>
      <w:pPr>
        <w:pStyle w:val="Heading1"/>
      </w:pPr>
      <w:r>
        <w:t>Branches and fair reservation queues</w:t>
      </w:r>
    </w:p>
    <w:p>
      <w:pPr>
        <w:pStyle w:val="Heading2"/>
      </w:pPr>
      <w:r>
        <w:t>R04 Branch inventory and transfers</w:t>
      </w:r>
    </w:p>
    <w:p>
      <w:r>
        <w:t>Required outcome: Every item and reception desk belongs to a physical branch, and authorised staff can coordinate transfers. Proposed seed data contains the three demonstration branches and one reception desk per branch. A transfer records its source, destination, item, status, staff member and timestamps.</w:t>
      </w:r>
    </w:p>
    <w:p>
      <w:pPr>
        <w:spacing w:after="100"/>
      </w:pPr>
      <w:r>
        <w:rPr>
          <w:b/>
        </w:rPr>
        <w:t>B01</w:t>
      </w:r>
      <w:r>
        <w:t xml:space="preserve">  Existing stock is assigned a branch during migration or seeding. Selecting a reception desk identifies its branch. Catalogue results and staff stock lists display the item's current physical branch.</w:t>
      </w:r>
    </w:p>
    <w:p>
      <w:pPr>
        <w:spacing w:after="100"/>
      </w:pPr>
      <w:r>
        <w:rPr>
          <w:b/>
        </w:rPr>
        <w:t>B02</w:t>
      </w:r>
      <w:r>
        <w:t xml:space="preserve">  Staff dispatch an eligible item and the transfer becomes InTransit. Checkout is blocked during transit. Receiving staff confirm arrival, then the physical branch changes to the destination and eligibility is rechecked.</w:t>
      </w:r>
    </w:p>
    <w:p>
      <w:pPr>
        <w:spacing w:after="100"/>
      </w:pPr>
      <w:r>
        <w:rPr>
          <w:b/>
        </w:rPr>
        <w:t>B03</w:t>
      </w:r>
      <w:r>
        <w:t xml:space="preserve">  Duplicate active transfers, identical source and destination, borrowed stock and damaged stock are rejected. A returned or repaired copy allocated to the queue head may be transferred to that patron's pickup branch.</w:t>
      </w:r>
    </w:p>
    <w:p>
      <w:pPr>
        <w:spacing w:after="100"/>
      </w:pPr>
      <w:r>
        <w:rPr>
          <w:b/>
        </w:rPr>
        <w:t>B04</w:t>
      </w:r>
      <w:r>
        <w:t xml:space="preserve">  Run branch seeding twice and restart the application. Branches, desks and demonstration records remain valid without duplicates. Verify installation and branch selection on the virtual machine.</w:t>
      </w:r>
    </w:p>
    <w:p>
      <w:pPr>
        <w:pStyle w:val="Heading2"/>
      </w:pPr>
      <w:r>
        <w:t>R05 Holds and waitlists</w:t>
      </w:r>
    </w:p>
    <w:p>
      <w:r>
        <w:t>Required outcome: Patrons place holds on borrowed or damaged items, and the next person is notified when an item becomes available. Proposed queues apply to individual physical copies identified by LibraryCode. Patrons choose a pickup branch and can view or cancel their own hold.</w:t>
      </w:r>
    </w:p>
    <w:p>
      <w:pPr>
        <w:spacing w:after="100"/>
      </w:pPr>
      <w:r>
        <w:rPr>
          <w:b/>
        </w:rPr>
        <w:t>H01</w:t>
      </w:r>
      <w:r>
        <w:t xml:space="preserve">  Two active patrons request the same borrowed or damaged copy. Both holds are saved in order of creation, with the hold ID breaking timestamp ties. Duplicate active holds by the same patron are rejected.</w:t>
      </w:r>
    </w:p>
    <w:p>
      <w:pPr>
        <w:spacing w:after="100"/>
      </w:pPr>
      <w:r>
        <w:rPr>
          <w:b/>
        </w:rPr>
        <w:t>H02</w:t>
      </w:r>
      <w:r>
        <w:t xml:space="preserve">  Return or repair allocates the eligible copy to the first active person in the queue and logs a notification. A patron later in the queue and an unrelated visitor cannot borrow that allocation.</w:t>
      </w:r>
    </w:p>
    <w:p>
      <w:pPr>
        <w:spacing w:after="100"/>
      </w:pPr>
      <w:r>
        <w:rPr>
          <w:b/>
        </w:rPr>
        <w:t>H03</w:t>
      </w:r>
      <w:r>
        <w:t xml:space="preserve">  If the pickup branch differs, staff coordinate a transfer. The patron receives an allocation message first and a ready for pickup message after receipt. The second patron remains waiting until the first hold is fulfilled or cancelled.</w:t>
      </w:r>
    </w:p>
    <w:p>
      <w:pPr>
        <w:spacing w:after="100"/>
      </w:pPr>
      <w:r>
        <w:rPr>
          <w:b/>
        </w:rPr>
        <w:t>H04</w:t>
      </w:r>
      <w:r>
        <w:t xml:space="preserve">  An item recorded as damaged remains unavailable for checkout until authorised staff record its repair. A repeated repair or return submission creates no duplicate allocation or notification.</w:t>
      </w:r>
    </w:p>
    <w:p>
      <w:pPr>
        <w:pStyle w:val="Heading2"/>
      </w:pPr>
      <w:r>
        <w:t>One availability rule across modules</w:t>
      </w:r>
    </w:p>
    <w:p>
      <w:r>
        <w:t>Every checkout channel will check the same conditions: the borrower is active, the item is physically available at the checkout branch, no active loan or transit transfer exists, and any pickup allocation belongs to that borrower. Public API availability uses the same stock conditions and excludes allocated copies.</w:t>
      </w:r>
    </w:p>
    <w:p>
      <w:r>
        <w:t>This rule connects the modules. A successful repair can release a queue allocation, but the destination kiosk must wait for the transfer to be received. A cancelled allocation allows the next eligible queued patron to be considered.</w:t>
      </w:r>
    </w:p>
    <w:p>
      <w:r>
        <w:br w:type="page"/>
      </w:r>
    </w:p>
    <w:p>
      <w:pPr>
        <w:pStyle w:val="Heading1"/>
      </w:pPr>
      <w:r>
        <w:t>Notifications importing and reporting</w:t>
      </w:r>
    </w:p>
    <w:p>
      <w:pPr>
        <w:pStyle w:val="Heading2"/>
      </w:pPr>
      <w:r>
        <w:t>R03 Simulated email and SMS notifications</w:t>
      </w:r>
    </w:p>
    <w:p>
      <w:r>
        <w:t>Required outcome: Automated notifications are simulated when an item is borrowed, approaching its due date or accruing fines. We propose a durable staff dashboard showing the recipient, channel, event, item or loan, message and creation time. Messages are marked simulated.</w:t>
      </w:r>
    </w:p>
    <w:p>
      <w:pPr>
        <w:spacing w:after="100"/>
      </w:pPr>
      <w:r>
        <w:rPr>
          <w:b/>
        </w:rPr>
        <w:t>N01</w:t>
      </w:r>
      <w:r>
        <w:t xml:space="preserve">  Successful checkout automatically logs a borrowing receipt. Upcoming due dates and overdue fines are checked automatically while the application runs, with a catch up check at startup.</w:t>
      </w:r>
    </w:p>
    <w:p>
      <w:pPr>
        <w:spacing w:after="100"/>
      </w:pPr>
      <w:r>
        <w:rPr>
          <w:b/>
        </w:rPr>
        <w:t>N02</w:t>
      </w:r>
      <w:r>
        <w:t xml:space="preserve">  Proposed timing is one reminder within the two days before the due date and one fine update per overdue day. Rechecks keep one reminder per loan due date and one fine update per loan and business date.</w:t>
      </w:r>
    </w:p>
    <w:p>
      <w:pPr>
        <w:spacing w:after="100"/>
      </w:pPr>
      <w:r>
        <w:rPr>
          <w:b/>
        </w:rPr>
        <w:t>N03</w:t>
      </w:r>
      <w:r>
        <w:t xml:space="preserve">  Queue allocation and transfer receipt log their corresponding messages. A staff demonstration action may run the same checks immediately; scheduled execution must also be demonstrated.</w:t>
      </w:r>
    </w:p>
    <w:p>
      <w:pPr>
        <w:pStyle w:val="Heading2"/>
      </w:pPr>
      <w:r>
        <w:t>R06 Administrative CSV importer</w:t>
      </w:r>
    </w:p>
    <w:p>
      <w:r>
        <w:t>The brief permits CSV upload or a mock metadata provider. We propose CSV upload, with a validation preview before staff confirm import. Common fields are ItemType, LibraryCode, Name, Description and BranchCode. The uploader supplies the existing required fields for the selected item type.</w:t>
      </w:r>
    </w:p>
    <w:p>
      <w:pPr>
        <w:spacing w:after="100"/>
      </w:pPr>
      <w:r>
        <w:rPr>
          <w:b/>
        </w:rPr>
        <w:t>I01</w:t>
      </w:r>
      <w:r>
        <w:t xml:space="preserve">  A valid file creates books, music and toys at the specified existing branches. Book fields include Author, BookGenre and PublicationYear; music fields include Artist, MusicGenre, ReleaseYear and Format; toy fields include ToyType and RecommendedAge.</w:t>
      </w:r>
    </w:p>
    <w:p>
      <w:pPr>
        <w:spacing w:after="100"/>
      </w:pPr>
      <w:r>
        <w:rPr>
          <w:b/>
        </w:rPr>
        <w:t>I02</w:t>
      </w:r>
      <w:r>
        <w:t xml:space="preserve">  Invalid headers, unknown types or branches, missing required values, invalid codes and duplicate codes produce row specific errors. Proposed behaviour is all or nothing: no rows are saved while validation errors remain.</w:t>
      </w:r>
    </w:p>
    <w:p>
      <w:pPr>
        <w:spacing w:after="100"/>
      </w:pPr>
      <w:r>
        <w:rPr>
          <w:b/>
        </w:rPr>
        <w:t>I03</w:t>
      </w:r>
      <w:r>
        <w:t xml:space="preserve">  New imported stock starts Available. Importing the same file again reports duplicates without overwriting items. The confirmed import records the staff member, time and number of records created.</w:t>
      </w:r>
    </w:p>
    <w:p>
      <w:pPr>
        <w:pStyle w:val="Heading2"/>
      </w:pPr>
      <w:r>
        <w:t>R07 Manager analytics and exports</w:t>
      </w:r>
    </w:p>
    <w:p>
      <w:r>
        <w:t>Required outcome: Managers report borrowing statistics, fine revenue audits and inventory health, with export capability. We propose both CSV and PDF exports, filtered by branch and reporting dates. The dashboard will show each filter and the report generation time.</w:t>
      </w:r>
    </w:p>
    <w:p>
      <w:pPr>
        <w:spacing w:after="100"/>
      </w:pPr>
      <w:r>
        <w:rPr>
          <w:b/>
        </w:rPr>
        <w:t>M01</w:t>
      </w:r>
      <w:r>
        <w:t xml:space="preserve">  Borrowing statistics distinguish new loans, active loans, overdue loans and returns. Inventory health shows condition counts and highlights copies damaged, destroyed, allocated for pickup or in transit without counting a physical copy twice in the total.</w:t>
      </w:r>
    </w:p>
    <w:p>
      <w:pPr>
        <w:spacing w:after="100"/>
      </w:pPr>
      <w:r>
        <w:rPr>
          <w:b/>
        </w:rPr>
        <w:t>M02</w:t>
      </w:r>
      <w:r>
        <w:t xml:space="preserve">  Revenue totals come from recorded payments. Accruing and unpaid fines are shown separately. Each payment record identifies its loan, amount, time, staff member and receiving branch; repeating a paid action creates no second payment.</w:t>
      </w:r>
    </w:p>
    <w:p>
      <w:pPr>
        <w:spacing w:after="100"/>
      </w:pPr>
      <w:r>
        <w:rPr>
          <w:b/>
        </w:rPr>
        <w:t>M03</w:t>
      </w:r>
      <w:r>
        <w:t xml:space="preserve">  CSV and PDF outputs reflect the displayed filters and reconcile with the underlying records. Staff without manager reporting permission cannot open or export these reports.</w:t>
      </w:r>
    </w:p>
    <w:p>
      <w:r>
        <w:br w:type="page"/>
      </w:r>
    </w:p>
    <w:p>
      <w:pPr>
        <w:pStyle w:val="Heading1"/>
      </w:pPr>
      <w:r>
        <w:t>Shared rules and integration checks</w:t>
      </w:r>
    </w:p>
    <w:p>
      <w:pPr>
        <w:pStyle w:val="Heading2"/>
      </w:pPr>
      <w:r>
        <w:t>Proposed rules for the first implementation</w:t>
      </w:r>
    </w:p>
    <w:p>
      <w:r>
        <w:t>Each LibraryCode identifies one physical copy. Holds refer to that copy. Existing staff roles remain in use: Admin manages stock and import, Reception manages lending and transfers, and Manager accesses reporting. Repair permissions will follow the stock management role.</w:t>
      </w:r>
    </w:p>
    <w:p>
      <w:r>
        <w:t>Store event timestamps in UTC and display them in Darwin time. Calculate due and overdue days consistently using Darwin calendar dates. Proposed lending rules preserve the current defaults of 14 days and $1.50 per late day. A three day overdue loan therefore accrues $4.50. The fine stops increasing when the item is returned.</w:t>
      </w:r>
    </w:p>
    <w:p>
      <w:r>
        <w:t>A paid fine creates a durable payment record. Reports distinguish estimated accruing fines, final unpaid fines and money collected. A zero fine creates no payment receipt. Historical demonstration records with no payment evidence must be labelled or reseeded consistently.</w:t>
      </w:r>
    </w:p>
    <w:p>
      <w:pPr>
        <w:pStyle w:val="Heading2"/>
      </w:pPr>
      <w:r>
        <w:t>Demonstration journey for a repaired toy</w:t>
      </w:r>
    </w:p>
    <w:p>
      <w:r>
        <w:t>Use fictional patrons P001 and P002 and toy TY-0001. Both patrons choose Palmerston Hub for pickup. This journey will supply the later user journey map and integration diagram.</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648"/>
        <w:gridCol w:w="4680"/>
        <w:gridCol w:w="4752"/>
      </w:tblGrid>
      <w:tr>
        <w:trPr>
          <w:tblHeader w:val="true"/>
          <w:cantSplit/>
        </w:trPr>
        <w:tc>
          <w:tcPr>
            <w:tcW w:type="dxa" w:w="648"/>
            <w:vAlign w:val="center"/>
            <w:tcMar>
              <w:top w:w="90" w:type="dxa"/>
              <w:bottom w:w="90" w:type="dxa"/>
              <w:left w:w="90" w:type="dxa"/>
              <w:right w:w="90" w:type="dxa"/>
            </w:tcMar>
            <w:shd w:fill="23465F"/>
          </w:tcPr>
          <w:p>
            <w:pPr>
              <w:spacing w:before="0" w:after="40" w:line="240" w:lineRule="auto"/>
              <w:jc w:val="center"/>
            </w:pPr>
            <w:r>
              <w:rPr>
                <w:b/>
                <w:color w:val="FFFFFF"/>
                <w:sz w:val="20"/>
              </w:rPr>
              <w:t>Step</w:t>
            </w:r>
          </w:p>
        </w:tc>
        <w:tc>
          <w:tcPr>
            <w:tcW w:type="dxa" w:w="4680"/>
            <w:vAlign w:val="center"/>
            <w:tcMar>
              <w:top w:w="90" w:type="dxa"/>
              <w:bottom w:w="90" w:type="dxa"/>
              <w:left w:w="90" w:type="dxa"/>
              <w:right w:w="90" w:type="dxa"/>
            </w:tcMar>
            <w:shd w:fill="23465F"/>
          </w:tcPr>
          <w:p>
            <w:pPr>
              <w:spacing w:before="0" w:after="40" w:line="240" w:lineRule="auto"/>
            </w:pPr>
            <w:r>
              <w:rPr>
                <w:b/>
                <w:color w:val="FFFFFF"/>
                <w:sz w:val="20"/>
              </w:rPr>
              <w:t>Action</w:t>
            </w:r>
          </w:p>
        </w:tc>
        <w:tc>
          <w:tcPr>
            <w:tcW w:type="dxa" w:w="4752"/>
            <w:vAlign w:val="center"/>
            <w:tcMar>
              <w:top w:w="90" w:type="dxa"/>
              <w:bottom w:w="90" w:type="dxa"/>
              <w:left w:w="90" w:type="dxa"/>
              <w:right w:w="90" w:type="dxa"/>
            </w:tcMar>
            <w:shd w:fill="23465F"/>
          </w:tcPr>
          <w:p>
            <w:pPr>
              <w:spacing w:before="0" w:after="40" w:line="240" w:lineRule="auto"/>
            </w:pPr>
            <w:r>
              <w:rPr>
                <w:b/>
                <w:color w:val="FFFFFF"/>
                <w:sz w:val="20"/>
              </w:rPr>
              <w:t>Expected outcome</w:t>
            </w:r>
          </w:p>
        </w:tc>
      </w:tr>
      <w:tr>
        <w:trPr>
          <w:cantSplit/>
        </w:trPr>
        <w:tc>
          <w:tcPr>
            <w:tcW w:type="dxa" w:w="648"/>
            <w:vAlign w:val="center"/>
            <w:tcMar>
              <w:top w:w="90" w:type="dxa"/>
              <w:bottom w:w="90" w:type="dxa"/>
              <w:left w:w="90" w:type="dxa"/>
              <w:right w:w="90" w:type="dxa"/>
            </w:tcMar>
            <w:shd w:fill="FFFFFF"/>
          </w:tcPr>
          <w:p>
            <w:pPr>
              <w:spacing w:before="0" w:after="40" w:line="240" w:lineRule="auto"/>
              <w:jc w:val="center"/>
            </w:pPr>
            <w:r>
              <w:rPr>
                <w:b w:val="0"/>
                <w:color w:val="000000"/>
                <w:sz w:val="20"/>
              </w:rPr>
              <w:t>1</w:t>
            </w:r>
          </w:p>
        </w:tc>
        <w:tc>
          <w:tcPr>
            <w:tcW w:type="dxa" w:w="4680"/>
            <w:vAlign w:val="center"/>
            <w:tcMar>
              <w:top w:w="90" w:type="dxa"/>
              <w:bottom w:w="90" w:type="dxa"/>
              <w:left w:w="90" w:type="dxa"/>
              <w:right w:w="90" w:type="dxa"/>
            </w:tcMar>
            <w:shd w:fill="FFFFFF"/>
          </w:tcPr>
          <w:p>
            <w:pPr>
              <w:spacing w:before="0" w:after="40" w:line="240" w:lineRule="auto"/>
            </w:pPr>
            <w:r>
              <w:rPr>
                <w:b w:val="0"/>
                <w:color w:val="000000"/>
                <w:sz w:val="20"/>
              </w:rPr>
              <w:t>TY-0001 is damaged at Darwin Hub. P001 then P002 request holds.</w:t>
            </w:r>
          </w:p>
        </w:tc>
        <w:tc>
          <w:tcPr>
            <w:tcW w:type="dxa" w:w="4752"/>
            <w:vAlign w:val="center"/>
            <w:tcMar>
              <w:top w:w="90" w:type="dxa"/>
              <w:bottom w:w="90" w:type="dxa"/>
              <w:left w:w="90" w:type="dxa"/>
              <w:right w:w="90" w:type="dxa"/>
            </w:tcMar>
            <w:shd w:fill="FFFFFF"/>
          </w:tcPr>
          <w:p>
            <w:pPr>
              <w:spacing w:before="0" w:after="40" w:line="240" w:lineRule="auto"/>
            </w:pPr>
            <w:r>
              <w:rPr>
                <w:b w:val="0"/>
                <w:color w:val="000000"/>
                <w:sz w:val="20"/>
              </w:rPr>
              <w:t>Both requests are accepted; P001 is first.</w:t>
            </w:r>
          </w:p>
        </w:tc>
      </w:tr>
      <w:tr>
        <w:trPr>
          <w:cantSplit/>
        </w:trPr>
        <w:tc>
          <w:tcPr>
            <w:tcW w:type="dxa" w:w="648"/>
            <w:vAlign w:val="center"/>
            <w:tcMar>
              <w:top w:w="90" w:type="dxa"/>
              <w:bottom w:w="90" w:type="dxa"/>
              <w:left w:w="90" w:type="dxa"/>
              <w:right w:w="90" w:type="dxa"/>
            </w:tcMar>
            <w:shd w:fill="F1F4F6"/>
          </w:tcPr>
          <w:p>
            <w:pPr>
              <w:spacing w:before="0" w:after="40" w:line="240" w:lineRule="auto"/>
              <w:jc w:val="center"/>
            </w:pPr>
            <w:r>
              <w:rPr>
                <w:b w:val="0"/>
                <w:color w:val="000000"/>
                <w:sz w:val="20"/>
              </w:rPr>
              <w:t>2</w:t>
            </w:r>
          </w:p>
        </w:tc>
        <w:tc>
          <w:tcPr>
            <w:tcW w:type="dxa" w:w="4680"/>
            <w:vAlign w:val="center"/>
            <w:tcMar>
              <w:top w:w="90" w:type="dxa"/>
              <w:bottom w:w="90" w:type="dxa"/>
              <w:left w:w="90" w:type="dxa"/>
              <w:right w:w="90" w:type="dxa"/>
            </w:tcMar>
            <w:shd w:fill="F1F4F6"/>
          </w:tcPr>
          <w:p>
            <w:pPr>
              <w:spacing w:before="0" w:after="40" w:line="240" w:lineRule="auto"/>
            </w:pPr>
            <w:r>
              <w:rPr>
                <w:b w:val="0"/>
                <w:color w:val="000000"/>
                <w:sz w:val="20"/>
              </w:rPr>
              <w:t>Admin records the completed repair.</w:t>
            </w:r>
          </w:p>
        </w:tc>
        <w:tc>
          <w:tcPr>
            <w:tcW w:type="dxa" w:w="4752"/>
            <w:vAlign w:val="center"/>
            <w:tcMar>
              <w:top w:w="90" w:type="dxa"/>
              <w:bottom w:w="90" w:type="dxa"/>
              <w:left w:w="90" w:type="dxa"/>
              <w:right w:w="90" w:type="dxa"/>
            </w:tcMar>
            <w:shd w:fill="F1F4F6"/>
          </w:tcPr>
          <w:p>
            <w:pPr>
              <w:spacing w:before="0" w:after="40" w:line="240" w:lineRule="auto"/>
            </w:pPr>
            <w:r>
              <w:rPr>
                <w:b w:val="0"/>
                <w:color w:val="000000"/>
                <w:sz w:val="20"/>
              </w:rPr>
              <w:t>P001 receives the allocation message. The copy is reserved for P001.</w:t>
            </w:r>
          </w:p>
        </w:tc>
      </w:tr>
      <w:tr>
        <w:trPr>
          <w:cantSplit/>
        </w:trPr>
        <w:tc>
          <w:tcPr>
            <w:tcW w:type="dxa" w:w="648"/>
            <w:vAlign w:val="center"/>
            <w:tcMar>
              <w:top w:w="90" w:type="dxa"/>
              <w:bottom w:w="90" w:type="dxa"/>
              <w:left w:w="90" w:type="dxa"/>
              <w:right w:w="90" w:type="dxa"/>
            </w:tcMar>
            <w:shd w:fill="FFFFFF"/>
          </w:tcPr>
          <w:p>
            <w:pPr>
              <w:spacing w:before="0" w:after="40" w:line="240" w:lineRule="auto"/>
              <w:jc w:val="center"/>
            </w:pPr>
            <w:r>
              <w:rPr>
                <w:b w:val="0"/>
                <w:color w:val="000000"/>
                <w:sz w:val="20"/>
              </w:rPr>
              <w:t>3</w:t>
            </w:r>
          </w:p>
        </w:tc>
        <w:tc>
          <w:tcPr>
            <w:tcW w:type="dxa" w:w="4680"/>
            <w:vAlign w:val="center"/>
            <w:tcMar>
              <w:top w:w="90" w:type="dxa"/>
              <w:bottom w:w="90" w:type="dxa"/>
              <w:left w:w="90" w:type="dxa"/>
              <w:right w:w="90" w:type="dxa"/>
            </w:tcMar>
            <w:shd w:fill="FFFFFF"/>
          </w:tcPr>
          <w:p>
            <w:pPr>
              <w:spacing w:before="0" w:after="40" w:line="240" w:lineRule="auto"/>
            </w:pPr>
            <w:r>
              <w:rPr>
                <w:b w:val="0"/>
                <w:color w:val="000000"/>
                <w:sz w:val="20"/>
              </w:rPr>
              <w:t>Reception dispatches the toy to Palmerston Hub.</w:t>
            </w:r>
          </w:p>
        </w:tc>
        <w:tc>
          <w:tcPr>
            <w:tcW w:type="dxa" w:w="4752"/>
            <w:vAlign w:val="center"/>
            <w:tcMar>
              <w:top w:w="90" w:type="dxa"/>
              <w:bottom w:w="90" w:type="dxa"/>
              <w:left w:w="90" w:type="dxa"/>
              <w:right w:w="90" w:type="dxa"/>
            </w:tcMar>
            <w:shd w:fill="FFFFFF"/>
          </w:tcPr>
          <w:p>
            <w:pPr>
              <w:spacing w:before="0" w:after="40" w:line="240" w:lineRule="auto"/>
            </w:pPr>
            <w:r>
              <w:rPr>
                <w:b w:val="0"/>
                <w:color w:val="000000"/>
                <w:sz w:val="20"/>
              </w:rPr>
              <w:t>The transfer is in transit; checkout is blocked.</w:t>
            </w:r>
          </w:p>
        </w:tc>
      </w:tr>
      <w:tr>
        <w:trPr>
          <w:cantSplit/>
        </w:trPr>
        <w:tc>
          <w:tcPr>
            <w:tcW w:type="dxa" w:w="648"/>
            <w:vAlign w:val="center"/>
            <w:tcMar>
              <w:top w:w="90" w:type="dxa"/>
              <w:bottom w:w="90" w:type="dxa"/>
              <w:left w:w="90" w:type="dxa"/>
              <w:right w:w="90" w:type="dxa"/>
            </w:tcMar>
            <w:shd w:fill="F1F4F6"/>
          </w:tcPr>
          <w:p>
            <w:pPr>
              <w:spacing w:before="0" w:after="40" w:line="240" w:lineRule="auto"/>
              <w:jc w:val="center"/>
            </w:pPr>
            <w:r>
              <w:rPr>
                <w:b w:val="0"/>
                <w:color w:val="000000"/>
                <w:sz w:val="20"/>
              </w:rPr>
              <w:t>4</w:t>
            </w:r>
          </w:p>
        </w:tc>
        <w:tc>
          <w:tcPr>
            <w:tcW w:type="dxa" w:w="4680"/>
            <w:vAlign w:val="center"/>
            <w:tcMar>
              <w:top w:w="90" w:type="dxa"/>
              <w:bottom w:w="90" w:type="dxa"/>
              <w:left w:w="90" w:type="dxa"/>
              <w:right w:w="90" w:type="dxa"/>
            </w:tcMar>
            <w:shd w:fill="F1F4F6"/>
          </w:tcPr>
          <w:p>
            <w:pPr>
              <w:spacing w:before="0" w:after="40" w:line="240" w:lineRule="auto"/>
            </w:pPr>
            <w:r>
              <w:rPr>
                <w:b w:val="0"/>
                <w:color w:val="000000"/>
                <w:sz w:val="20"/>
              </w:rPr>
              <w:t>Palmerston Reception confirms arrival.</w:t>
            </w:r>
          </w:p>
        </w:tc>
        <w:tc>
          <w:tcPr>
            <w:tcW w:type="dxa" w:w="4752"/>
            <w:vAlign w:val="center"/>
            <w:tcMar>
              <w:top w:w="90" w:type="dxa"/>
              <w:bottom w:w="90" w:type="dxa"/>
              <w:left w:w="90" w:type="dxa"/>
              <w:right w:w="90" w:type="dxa"/>
            </w:tcMar>
            <w:shd w:fill="F1F4F6"/>
          </w:tcPr>
          <w:p>
            <w:pPr>
              <w:spacing w:before="0" w:after="40" w:line="240" w:lineRule="auto"/>
            </w:pPr>
            <w:r>
              <w:rPr>
                <w:b w:val="0"/>
                <w:color w:val="000000"/>
                <w:sz w:val="20"/>
              </w:rPr>
              <w:t>The item's physical branch changes; P001 receives the pickup message.</w:t>
            </w:r>
          </w:p>
        </w:tc>
      </w:tr>
      <w:tr>
        <w:trPr>
          <w:cantSplit/>
        </w:trPr>
        <w:tc>
          <w:tcPr>
            <w:tcW w:type="dxa" w:w="648"/>
            <w:vAlign w:val="center"/>
            <w:tcMar>
              <w:top w:w="90" w:type="dxa"/>
              <w:bottom w:w="90" w:type="dxa"/>
              <w:left w:w="90" w:type="dxa"/>
              <w:right w:w="90" w:type="dxa"/>
            </w:tcMar>
            <w:shd w:fill="FFFFFF"/>
          </w:tcPr>
          <w:p>
            <w:pPr>
              <w:spacing w:before="0" w:after="40" w:line="240" w:lineRule="auto"/>
              <w:jc w:val="center"/>
            </w:pPr>
            <w:r>
              <w:rPr>
                <w:b w:val="0"/>
                <w:color w:val="000000"/>
                <w:sz w:val="20"/>
              </w:rPr>
              <w:t>5</w:t>
            </w:r>
          </w:p>
        </w:tc>
        <w:tc>
          <w:tcPr>
            <w:tcW w:type="dxa" w:w="4680"/>
            <w:vAlign w:val="center"/>
            <w:tcMar>
              <w:top w:w="90" w:type="dxa"/>
              <w:bottom w:w="90" w:type="dxa"/>
              <w:left w:w="90" w:type="dxa"/>
              <w:right w:w="90" w:type="dxa"/>
            </w:tcMar>
            <w:shd w:fill="FFFFFF"/>
          </w:tcPr>
          <w:p>
            <w:pPr>
              <w:spacing w:before="0" w:after="40" w:line="240" w:lineRule="auto"/>
            </w:pPr>
            <w:r>
              <w:rPr>
                <w:b w:val="0"/>
                <w:color w:val="000000"/>
                <w:sz w:val="20"/>
              </w:rPr>
              <w:t>P001 checks out the toy through the Palmerston kiosk.</w:t>
            </w:r>
          </w:p>
        </w:tc>
        <w:tc>
          <w:tcPr>
            <w:tcW w:type="dxa" w:w="4752"/>
            <w:vAlign w:val="center"/>
            <w:tcMar>
              <w:top w:w="90" w:type="dxa"/>
              <w:bottom w:w="90" w:type="dxa"/>
              <w:left w:w="90" w:type="dxa"/>
              <w:right w:w="90" w:type="dxa"/>
            </w:tcMar>
            <w:shd w:fill="FFFFFF"/>
          </w:tcPr>
          <w:p>
            <w:pPr>
              <w:spacing w:before="0" w:after="40" w:line="240" w:lineRule="auto"/>
            </w:pPr>
            <w:r>
              <w:rPr>
                <w:b w:val="0"/>
                <w:color w:val="000000"/>
                <w:sz w:val="20"/>
              </w:rPr>
              <w:t>One loan is created; P001's hold is fulfilled; P002 keeps waiting.</w:t>
            </w:r>
          </w:p>
        </w:tc>
      </w:tr>
      <w:tr>
        <w:trPr>
          <w:cantSplit/>
        </w:trPr>
        <w:tc>
          <w:tcPr>
            <w:tcW w:type="dxa" w:w="648"/>
            <w:vAlign w:val="center"/>
            <w:tcMar>
              <w:top w:w="90" w:type="dxa"/>
              <w:bottom w:w="90" w:type="dxa"/>
              <w:left w:w="90" w:type="dxa"/>
              <w:right w:w="90" w:type="dxa"/>
            </w:tcMar>
            <w:shd w:fill="F1F4F6"/>
          </w:tcPr>
          <w:p>
            <w:pPr>
              <w:spacing w:before="0" w:after="40" w:line="240" w:lineRule="auto"/>
              <w:jc w:val="center"/>
            </w:pPr>
            <w:r>
              <w:rPr>
                <w:b w:val="0"/>
                <w:color w:val="000000"/>
                <w:sz w:val="20"/>
              </w:rPr>
              <w:t>6</w:t>
            </w:r>
          </w:p>
        </w:tc>
        <w:tc>
          <w:tcPr>
            <w:tcW w:type="dxa" w:w="4680"/>
            <w:vAlign w:val="center"/>
            <w:tcMar>
              <w:top w:w="90" w:type="dxa"/>
              <w:bottom w:w="90" w:type="dxa"/>
              <w:left w:w="90" w:type="dxa"/>
              <w:right w:w="90" w:type="dxa"/>
            </w:tcMar>
            <w:shd w:fill="F1F4F6"/>
          </w:tcPr>
          <w:p>
            <w:pPr>
              <w:spacing w:before="0" w:after="40" w:line="240" w:lineRule="auto"/>
            </w:pPr>
            <w:r>
              <w:rPr>
                <w:b w:val="0"/>
                <w:color w:val="000000"/>
                <w:sz w:val="20"/>
              </w:rPr>
              <w:t>P001 returns the toy in usable condition.</w:t>
            </w:r>
          </w:p>
        </w:tc>
        <w:tc>
          <w:tcPr>
            <w:tcW w:type="dxa" w:w="4752"/>
            <w:vAlign w:val="center"/>
            <w:tcMar>
              <w:top w:w="90" w:type="dxa"/>
              <w:bottom w:w="90" w:type="dxa"/>
              <w:left w:w="90" w:type="dxa"/>
              <w:right w:w="90" w:type="dxa"/>
            </w:tcMar>
            <w:shd w:fill="F1F4F6"/>
          </w:tcPr>
          <w:p>
            <w:pPr>
              <w:spacing w:before="0" w:after="40" w:line="240" w:lineRule="auto"/>
            </w:pPr>
            <w:r>
              <w:rPr>
                <w:b w:val="0"/>
                <w:color w:val="000000"/>
                <w:sz w:val="20"/>
              </w:rPr>
              <w:t>P002 becomes the allocated patron and is notified.</w:t>
            </w:r>
          </w:p>
        </w:tc>
      </w:tr>
    </w:tbl>
    <w:p>
      <w:pPr>
        <w:spacing w:after="0"/>
      </w:pPr>
      <w:r/>
    </w:p>
    <w:p>
      <w:pPr>
        <w:pStyle w:val="Heading2"/>
      </w:pPr>
      <w:r>
        <w:t>Integration checks to record</w:t>
      </w:r>
    </w:p>
    <w:p>
      <w:pPr>
        <w:spacing w:after="100"/>
      </w:pPr>
      <w:r>
        <w:rPr>
          <w:b/>
        </w:rPr>
        <w:t>T01</w:t>
      </w:r>
      <w:r>
        <w:t xml:space="preserve">  Send two checkout attempts for one copy through kiosk and Reception together. Exactly one succeeds and one active loan remains in the database.</w:t>
      </w:r>
    </w:p>
    <w:p>
      <w:pPr>
        <w:spacing w:after="100"/>
      </w:pPr>
      <w:r>
        <w:rPr>
          <w:b/>
        </w:rPr>
        <w:t>T02</w:t>
      </w:r>
      <w:r>
        <w:t xml:space="preserve">  Run due and fine checks twice on the same business date. Each qualifying event has one notification. Advance the test date and verify the next expected fine update.</w:t>
      </w:r>
    </w:p>
    <w:p>
      <w:pPr>
        <w:spacing w:after="100"/>
      </w:pPr>
      <w:r>
        <w:rPr>
          <w:b/>
        </w:rPr>
        <w:t>T03</w:t>
      </w:r>
      <w:r>
        <w:t xml:space="preserve">  Use a known $4.50 fine. Before payment, collected revenue is $0 for that fine. After payment, collected revenue is $4.50 and a second payment attempt leaves that total unchanged.</w:t>
      </w:r>
    </w:p>
    <w:p>
      <w:r>
        <w:t>For every check record the requirement ID, test date, branch, inputs, expected result, actual result, tester and commit. Keep screenshots or response captures and link any failure to its fix and retest. These checks are planned; record results after execution.</w:t>
      </w:r>
    </w:p>
    <w:p>
      <w:r>
        <w:br w:type="page"/>
      </w:r>
    </w:p>
    <w:p>
      <w:pPr>
        <w:pStyle w:val="Heading1"/>
      </w:pPr>
      <w:r>
        <w:t>Questions and requirement review</w:t>
      </w:r>
    </w:p>
    <w:p>
      <w:r>
        <w:t>Resolve these questions with the group and seek lecturer clarification where the brief is ambiguous. Record the actual response, respondent, date and resulting requirement change in the notes. Proposed defaults support progress while the questions are open.</w:t>
      </w:r>
    </w:p>
    <w:p>
      <w:pPr>
        <w:spacing w:after="100"/>
      </w:pPr>
      <w:r>
        <w:rPr>
          <w:b/>
        </w:rPr>
        <w:t>Q1</w:t>
      </w:r>
      <w:r>
        <w:t xml:space="preserve">  Does the group accept the family lending focus, three fictional branches and the proposed feature allocation? Each member must state availability and accept their own tasks.</w:t>
      </w:r>
    </w:p>
    <w:p>
      <w:pPr>
        <w:spacing w:after="100"/>
      </w:pPr>
      <w:r>
        <w:rPr>
          <w:b/>
        </w:rPr>
        <w:t>Q2</w:t>
      </w:r>
      <w:r>
        <w:t xml:space="preserve">  What verifies the patron at the kiosk and hold page? Proposed default is membership number plus a library PIN. Confirm whether physical scanner hardware is required or keyboard entry simulating a scanner is acceptable.</w:t>
      </w:r>
    </w:p>
    <w:p>
      <w:pPr>
        <w:spacing w:after="100"/>
      </w:pPr>
      <w:r>
        <w:rPr>
          <w:b/>
        </w:rPr>
        <w:t>Q3</w:t>
      </w:r>
      <w:r>
        <w:t xml:space="preserve">  Who consumes the API, and how should they authenticate? Proposed default is an external client credential stored outside committed source. Confirm whether operating status means branch open or closed status, system health, or both.</w:t>
      </w:r>
    </w:p>
    <w:p>
      <w:pPr>
        <w:spacing w:after="100"/>
      </w:pPr>
      <w:r>
        <w:rPr>
          <w:b/>
        </w:rPr>
        <w:t>Q4</w:t>
      </w:r>
      <w:r>
        <w:t xml:space="preserve">  Should the current 14 day loan period and $1.50 daily fine remain? Proposed default is to preserve them and make date calculation consistent in Darwin time. Confirm any borrowing restrictions for unpaid fines.</w:t>
      </w:r>
    </w:p>
    <w:p>
      <w:pPr>
        <w:spacing w:after="100"/>
      </w:pPr>
      <w:r>
        <w:rPr>
          <w:b/>
        </w:rPr>
        <w:t>Q5</w:t>
      </w:r>
      <w:r>
        <w:t xml:space="preserve">  Are holds on an individual copy acceptable, and when should an uncollected allocation expire? Proposed first build uses copy queues and staff cancellation. A timed pickup expiry can be added after the required queue works.</w:t>
      </w:r>
    </w:p>
    <w:p>
      <w:pPr>
        <w:spacing w:after="100"/>
      </w:pPr>
      <w:r>
        <w:rPr>
          <w:b/>
        </w:rPr>
        <w:t>Q6</w:t>
      </w:r>
      <w:r>
        <w:t xml:space="preserve">  Does the group accept all or nothing CSV validation? The brief permits CSV upload. Confirm whether the CSV/PDF wording expects one export format or both; the proposed implementation provides both.</w:t>
      </w:r>
    </w:p>
    <w:p>
      <w:pPr>
        <w:pStyle w:val="Heading2"/>
      </w:pPr>
      <w:r>
        <w:t>Review and change record</w:t>
      </w:r>
    </w:p>
    <w:p>
      <w:r>
        <w:t>Kamalpreet will maintain this draft. Each module lead will review its checks and dependencies. Group acceptance will record the date and the members who agreed. Changes after acceptance will identify the reason, affected requirement IDs, task estimate and any test that needs updating.</w:t>
      </w:r>
    </w:p>
    <w:p>
      <w:r>
        <w:t>Move the requirements task to In Progress while drafting and reviewing it. Completion evidence is the reviewed document plus the recorded answers and decisions. Actual hours are entered from each member's work log.</w:t>
      </w:r>
    </w:p>
    <w:p>
      <w:pPr>
        <w:pStyle w:val="Heading2"/>
      </w:pPr>
      <w:r>
        <w:t>Required portfolio evidence</w:t>
      </w:r>
    </w:p>
    <w:p>
      <w:r>
        <w:t>The final portfolio must also contain the team contract, requirements notes, team approach, project management links with marker read access, manageable billable tasks with hours and allocations, actual meeting minutes, and an honest strengths and weaknesses review.</w:t>
      </w:r>
    </w:p>
    <w:p>
      <w:r>
        <w:t>Include a technical clone, install and run manual tested on a virtual machine. All branches follow the same instructions and select their branch where appropriate. Include a patron search manual or video, integration diagrams and user journey maps. Submit the portfolio as PDF and the expanded repository link; update README module navigation, branch seeding and integration testing instructions.</w:t>
      </w:r>
    </w:p>
    <w:p>
      <w:pPr>
        <w:pStyle w:val="Heading2"/>
      </w:pPr>
      <w:r>
        <w:t>Source references</w:t>
      </w:r>
    </w:p>
    <w:p>
      <w:r>
        <w:t>CDU HIT339 Group Project Management and Horizontal Feature Expansion brief, pages 1 and 2. Selected Assignment 2 source: Kamalpreet S389008 TopEndLibraryHub, including the models, LoansController and startup database initializer. Lecturer announcement supplied in the project discussion: requirements questions, product presentation, acted on UX feedback, breadth and depth.</w:t>
      </w:r>
    </w:p>
    <w:sectPr w:rsidR="00FC693F" w:rsidRPr="0006063C" w:rsidSect="00034616">
      <w:headerReference w:type="default" r:id="rId9"/>
      <w:footerReference w:type="default" r:id="rId10"/>
      <w:pgSz w:w="12240" w:h="15840"/>
      <w:pgMar w:top="1008" w:right="1080" w:bottom="1008" w:left="108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Requirements version 0.1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8"/>
      </w:rPr>
      <w:t>HIT339 GROUP 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18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widowControl/>
      <w:spacing w:before="180" w:after="100"/>
      <w:outlineLvl w:val="1"/>
    </w:pPr>
    <w:rPr>
      <w:rFonts w:asciiTheme="majorHAnsi" w:eastAsiaTheme="majorEastAsia" w:hAnsiTheme="majorHAnsi" w:cstheme="majorBidi" w:ascii="Calibri" w:hAnsi="Calibri"/>
      <w:b/>
      <w:bCs/>
      <w:color w:val="000000"/>
      <w:sz w:val="25"/>
      <w:szCs w:val="26"/>
    </w:rPr>
  </w:style>
  <w:style w:type="paragraph" w:styleId="Heading3">
    <w:name w:val="heading 3"/>
    <w:basedOn w:val="Normal"/>
    <w:next w:val="Normal"/>
    <w:link w:val="Heading3Char"/>
    <w:uiPriority w:val="9"/>
    <w:unhideWhenUsed/>
    <w:qFormat/>
    <w:rsid w:val="00FC693F"/>
    <w:pPr>
      <w:keepNext/>
      <w:keepLines/>
      <w:widowControl/>
      <w:spacing w:before="140" w:after="80"/>
      <w:outlineLvl w:val="2"/>
    </w:pPr>
    <w:rPr>
      <w:rFonts w:asciiTheme="majorHAnsi" w:eastAsiaTheme="majorEastAsia" w:hAnsiTheme="majorHAnsi" w:cstheme="majorBidi" w:ascii="Calibri" w:hAnsi="Calibr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spacing w:after="160" w:line="240" w:lineRule="auto"/>
      <w:contextualSpacing/>
    </w:pPr>
    <w:rPr>
      <w:rFonts w:asciiTheme="majorHAnsi" w:eastAsiaTheme="majorEastAsia" w:hAnsiTheme="majorHAnsi" w:cstheme="majorBidi" w:ascii="Calibri" w:hAnsi="Calibri"/>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contextualSpacing/>
    </w:pPr>
    <w:rPr>
      <w:rFonts w:ascii="Calibri" w:hAnsi="Calibri"/>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Kamal03102006/HIT339_Group8_TopEndLibraryHub" TargetMode="External"/><Relationship Id="rId12" Type="http://schemas.openxmlformats.org/officeDocument/2006/relationships/hyperlink" Target="https://github.com/users/Kamal03102006/projects/1/views/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TopEndLibraryHub requirements</dc:title>
  <dc:subject>HIT339 Group 8 requirements and proposed acceptance checks</dc:subject>
  <dc:creator>HIT339 Group 8</dc:creator>
  <cp:keywords>HIT339, Group 8, requirements, TopEndLibraryHub</cp:keywords>
  <dc:description>generated by python-docx</dc:description>
  <cp:lastModifiedBy/>
  <cp:revision>1</cp:revision>
  <dcterms:created xsi:type="dcterms:W3CDTF">2013-12-23T23:15:00Z</dcterms:created>
  <dcterms:modified xsi:type="dcterms:W3CDTF">2013-12-23T23:15:00Z</dcterms:modified>
  <cp:category/>
</cp:coreProperties>
</file>