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Inter" w:cs="Inter" w:eastAsia="Inter" w:hAnsi="Inter"/>
          <w:b/>
          <w:bCs/>
          <w:color w:val="6E1423"/>
          <w:spacing w:val="80"/>
          <w:sz w:val="18"/>
          <w:szCs w:val="18"/>
        </w:rPr>
        <w:t xml:space="preserve">UX/UI DESIGN SPECIFICATION</w:t>
      </w:r>
    </w:p>
    <w:p>
      <w:pPr>
        <w:spacing w:after="120"/>
      </w:pPr>
      <w:r>
        <w:rPr>
          <w:rFonts w:ascii="Fraunces" w:cs="Fraunces" w:eastAsia="Fraunces" w:hAnsi="Fraunces"/>
          <w:color w:val="1F1B16"/>
          <w:sz w:val="64"/>
          <w:szCs w:val="64"/>
        </w:rPr>
        <w:t xml:space="preserve">Beat Drops Music Academy</w:t>
      </w:r>
    </w:p>
    <w:p>
      <w:pPr>
        <w:spacing w:after="360"/>
      </w:pPr>
      <w:r>
        <w:rPr>
          <w:rFonts w:ascii="Fraunces" w:cs="Fraunces" w:eastAsia="Fraunces" w:hAnsi="Fraunces"/>
          <w:i/>
          <w:iCs/>
          <w:color w:val="6E1423"/>
          <w:sz w:val="32"/>
          <w:szCs w:val="32"/>
        </w:rPr>
        <w:t xml:space="preserve">Discover Your Rhythm.</w:t>
      </w:r>
    </w:p>
    <w:p>
      <w:pPr>
        <w:spacing w:after="80"/>
      </w:pPr>
      <w:r>
        <w:rPr>
          <w:rFonts w:ascii="Inter" w:cs="Inter" w:eastAsia="Inter" w:hAnsi="Inter"/>
          <w:color w:val="6B5F50"/>
          <w:sz w:val="22"/>
          <w:szCs w:val="22"/>
        </w:rPr>
        <w:t xml:space="preserve">Mobile-first website + admin dashboard</w:t>
      </w:r>
    </w:p>
    <w:p>
      <w:pPr>
        <w:spacing w:after="80"/>
      </w:pPr>
      <w:r>
        <w:rPr>
          <w:rFonts w:ascii="Inter" w:cs="Inter" w:eastAsia="Inter" w:hAnsi="Inter"/>
          <w:color w:val="6B5F50"/>
          <w:sz w:val="20"/>
          <w:szCs w:val="20"/>
        </w:rPr>
        <w:t xml:space="preserve">Prepared for: Kamal — BeatDrops project</w:t>
      </w:r>
    </w:p>
    <w:p>
      <w:pPr>
        <w:spacing w:after="80"/>
      </w:pPr>
      <w:r>
        <w:rPr>
          <w:rFonts w:ascii="Inter" w:cs="Inter" w:eastAsia="Inter" w:hAnsi="Inter"/>
          <w:color w:val="6B5F50"/>
          <w:sz w:val="20"/>
          <w:szCs w:val="20"/>
        </w:rPr>
        <w:t xml:space="preserve">Contact · +91 9439395040  ·  beatdrops2022@gmail.com</w:t>
      </w:r>
    </w:p>
    <w:p>
      <w:pPr>
        <w:spacing w:after="320"/>
      </w:pPr>
      <w:r>
        <w:rPr>
          <w:rFonts w:ascii="Inter" w:cs="Inter" w:eastAsia="Inter" w:hAnsi="Inter"/>
          <w:color w:val="6B5F50"/>
          <w:sz w:val="20"/>
          <w:szCs w:val="20"/>
        </w:rPr>
        <w:t xml:space="preserve">Version 1.1 · April 2026</w:t>
      </w:r>
    </w:p>
    <w:p>
      <w:pPr>
        <w:pBdr>
          <w:bottom w:val="single" w:color="C8A96A" w:sz="6" w:space="1"/>
        </w:pBdr>
        <w:spacing w:after="200" w:before="60"/>
      </w:pPr>
      <w:r>
        <w:t xml:space="preserve"/>
      </w:r>
    </w:p>
    <w:p>
      <w:pPr>
        <w:spacing w:after="12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This document describes the visual system, component library, page layouts and UX rationale for the Beat Drops Music Academy website. The companion file beatdrops-prototype.html is the live, mobile-first reference for everything that follows. Beat Drops is based in Bhubaneswar, runs two branches (Sailashree Vihar, Patia and Gothapatna), and currently teaches six disciplines in 1:1 and group formats for ages 5 and above.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color w:val="6E1423"/>
        </w:rPr>
        <w:t xml:space="preserve">1 · Design principles</w:t>
      </w:r>
    </w:p>
    <w:p>
      <w:pPr>
        <w:spacing w:after="12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Five principles guide every decision in this design. They double as a checklist — if a screen drifts from these, it gets revised.</w:t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1F1B16"/>
          <w:sz w:val="24"/>
          <w:szCs w:val="24"/>
        </w:rPr>
        <w:t xml:space="preserve">Heritage, modernised</w:t>
      </w:r>
    </w:p>
    <w:p>
      <w:pPr>
        <w:spacing w:after="12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The brand is rooted in Indian classical traditions (Tabla, Hindustani vocal, Odissi) but the audience expects a 2026-grade product. Maroon, gold and ivory carry the heritage; generous whitespace, modern type and subtle motion carry the modernity. Neither overpowers the other.</w:t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1F1B16"/>
          <w:sz w:val="24"/>
          <w:szCs w:val="24"/>
        </w:rPr>
        <w:t xml:space="preserve">Mobile-first, then expand</w:t>
      </w:r>
    </w:p>
    <w:p>
      <w:pPr>
        <w:spacing w:after="12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Most parents in Bhubaneswar will discover the academy on a phone, often via WhatsApp shares. Every section is designed at 360 px first, then progressively enhanced for tablet and desktop. The form, primary CTA and phone numbers are always one thumb-tap away.</w:t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1F1B16"/>
          <w:sz w:val="24"/>
          <w:szCs w:val="24"/>
        </w:rPr>
        <w:t xml:space="preserve">Calm density</w:t>
      </w:r>
    </w:p>
    <w:p>
      <w:pPr>
        <w:spacing w:after="12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Inspired by Apple, Stripe and Airbnb. Each section says one thing clearly, with breathing room around it. The page never feels like a flyer.</w:t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1F1B16"/>
          <w:sz w:val="24"/>
          <w:szCs w:val="24"/>
        </w:rPr>
        <w:t xml:space="preserve">Trust over hype</w:t>
      </w:r>
    </w:p>
    <w:p>
      <w:pPr>
        <w:spacing w:after="12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Premium services sell on credibility. We surface real numbers (students, years, locations), mentor quotes, and recognisable proof — not stock superlatives.</w:t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1F1B16"/>
          <w:sz w:val="24"/>
          <w:szCs w:val="24"/>
        </w:rPr>
        <w:t xml:space="preserve">Frictionless enquiry</w:t>
      </w:r>
    </w:p>
    <w:p>
      <w:pPr>
        <w:spacing w:after="12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The whole funnel exists to get qualified enquiries into Supabase. The form is short (5 fields, 2 optional), the CTAs are unambiguous ("Enroll Now" / "Book a Free Demo"), and the form is reachable from every section.</w:t>
      </w:r>
    </w:p>
    <w:p>
      <w:pPr>
        <w:pBdr>
          <w:bottom w:val="single" w:color="C8A96A" w:sz="6" w:space="1"/>
        </w:pBdr>
        <w:spacing w:after="200" w:before="60"/>
      </w:pPr>
      <w:r>
        <w:t xml:space="preserv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color w:val="6E1423"/>
        </w:rPr>
        <w:t xml:space="preserve">2 · Color palette — Warm Indian Heritage</w:t>
      </w:r>
    </w:p>
    <w:p>
      <w:pPr>
        <w:spacing w:after="12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The palette is built around three hues — Deep Maroon (heritage, authority), Gold (premium, traditional accents), and Ivory (calm, premium canvas). Backed by a warm neutral ink scale and three semantic states.</w:t>
      </w:r>
    </w:p>
    <w:p>
      <w:pPr>
        <w:pStyle w:val="Heading2"/>
        <w:spacing w:after="120" w:before="280"/>
      </w:pPr>
      <w:r>
        <w:rPr>
          <w:rFonts w:ascii="Inter" w:cs="Inter" w:eastAsia="Inter" w:hAnsi="Inter"/>
          <w:color w:val="4A0E1A"/>
        </w:rPr>
        <w:t xml:space="preserve">Primary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F2EAD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F2EAD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Swatch / Hex</w:t>
            </w:r>
          </w:p>
        </w:tc>
        <w:tc>
          <w:tcPr>
            <w:tcW w:type="dxa" w:w="468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F2EAD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maroon-900</w:t>
            </w:r>
          </w:p>
        </w:tc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4A0E1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#4A0E1A</w:t>
            </w:r>
          </w:p>
        </w:tc>
        <w:tc>
          <w:tcPr>
            <w:tcW w:type="dxa" w:w="468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Footer background, sidebar, deepest brand surface</w:t>
            </w:r>
          </w:p>
        </w:tc>
      </w:tr>
      <w:tr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maroon-700</w:t>
            </w:r>
          </w:p>
        </w:tc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6E142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#6E1423</w:t>
            </w:r>
          </w:p>
        </w:tc>
        <w:tc>
          <w:tcPr>
            <w:tcW w:type="dxa" w:w="468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PRIMARY — buttons, brand mark, active nav, accents</w:t>
            </w:r>
          </w:p>
        </w:tc>
      </w:tr>
      <w:tr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maroon-500</w:t>
            </w:r>
          </w:p>
        </w:tc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8C22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#8C2233</w:t>
            </w:r>
          </w:p>
        </w:tc>
        <w:tc>
          <w:tcPr>
            <w:tcW w:type="dxa" w:w="468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Hover states, secondary brand washes</w:t>
            </w:r>
          </w:p>
        </w:tc>
      </w:tr>
      <w:tr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maroon-100</w:t>
            </w:r>
          </w:p>
        </w:tc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F4E4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#F4E4E6</w:t>
            </w:r>
          </w:p>
        </w:tc>
        <w:tc>
          <w:tcPr>
            <w:tcW w:type="dxa" w:w="468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Subtle backgrounds, status pills (New)</w:t>
            </w:r>
          </w:p>
        </w:tc>
      </w:tr>
    </w:tbl>
    <w:p>
      <w:pPr>
        <w:pStyle w:val="Heading2"/>
        <w:spacing w:after="120" w:before="280"/>
      </w:pPr>
      <w:r>
        <w:rPr>
          <w:rFonts w:ascii="Inter" w:cs="Inter" w:eastAsia="Inter" w:hAnsi="Inter"/>
          <w:color w:val="4A0E1A"/>
        </w:rPr>
        <w:t xml:space="preserve">Accent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F2EAD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F2EAD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Swatch / Hex</w:t>
            </w:r>
          </w:p>
        </w:tc>
        <w:tc>
          <w:tcPr>
            <w:tcW w:type="dxa" w:w="468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F2EAD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gold-700</w:t>
            </w:r>
          </w:p>
        </w:tc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A0814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#A08144</w:t>
            </w:r>
          </w:p>
        </w:tc>
        <w:tc>
          <w:tcPr>
            <w:tcW w:type="dxa" w:w="468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Star ratings, advanced highlights, dark surfaces</w:t>
            </w:r>
          </w:p>
        </w:tc>
      </w:tr>
      <w:tr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gold-500</w:t>
            </w:r>
          </w:p>
        </w:tc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C8A96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#C8A96A</w:t>
            </w:r>
          </w:p>
        </w:tc>
        <w:tc>
          <w:tcPr>
            <w:tcW w:type="dxa" w:w="468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ACCENT — eyebrow underlines, equalizer, gold buttons</w:t>
            </w:r>
          </w:p>
        </w:tc>
      </w:tr>
      <w:tr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gold-300</w:t>
            </w:r>
          </w:p>
        </w:tc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E2C89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#E2C893</w:t>
            </w:r>
          </w:p>
        </w:tc>
        <w:tc>
          <w:tcPr>
            <w:tcW w:type="dxa" w:w="468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Glow accents, hero halos, footer text accents</w:t>
            </w:r>
          </w:p>
        </w:tc>
      </w:tr>
      <w:tr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gold-100</w:t>
            </w:r>
          </w:p>
        </w:tc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F6ECD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#F6ECD6</w:t>
            </w:r>
          </w:p>
        </w:tc>
        <w:tc>
          <w:tcPr>
            <w:tcW w:type="dxa" w:w="468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Course pills, info chips, soft backgrounds</w:t>
            </w:r>
          </w:p>
        </w:tc>
      </w:tr>
    </w:tbl>
    <w:p>
      <w:pPr>
        <w:pStyle w:val="Heading2"/>
        <w:spacing w:after="120" w:before="280"/>
      </w:pPr>
      <w:r>
        <w:rPr>
          <w:rFonts w:ascii="Inter" w:cs="Inter" w:eastAsia="Inter" w:hAnsi="Inter"/>
          <w:color w:val="4A0E1A"/>
        </w:rPr>
        <w:t xml:space="preserve">Neutral &amp; Surface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F2EAD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F2EAD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Swatch / Hex</w:t>
            </w:r>
          </w:p>
        </w:tc>
        <w:tc>
          <w:tcPr>
            <w:tcW w:type="dxa" w:w="468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F2EAD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ivory</w:t>
            </w:r>
          </w:p>
        </w:tc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FAF6E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#FAF6EE</w:t>
            </w:r>
          </w:p>
        </w:tc>
        <w:tc>
          <w:tcPr>
            <w:tcW w:type="dxa" w:w="468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Page background — calm, premium canvas</w:t>
            </w:r>
          </w:p>
        </w:tc>
      </w:tr>
      <w:tr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paper</w:t>
            </w:r>
          </w:p>
        </w:tc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#FFFFFF</w:t>
            </w:r>
          </w:p>
        </w:tc>
        <w:tc>
          <w:tcPr>
            <w:tcW w:type="dxa" w:w="468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Cards, panels, form inputs</w:t>
            </w:r>
          </w:p>
        </w:tc>
      </w:tr>
      <w:tr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sand</w:t>
            </w:r>
          </w:p>
        </w:tc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F2EAD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#F2EADC</w:t>
            </w:r>
          </w:p>
        </w:tc>
        <w:tc>
          <w:tcPr>
            <w:tcW w:type="dxa" w:w="468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Section gradients, table headers, soft chips</w:t>
            </w:r>
          </w:p>
        </w:tc>
      </w:tr>
      <w:tr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line</w:t>
            </w:r>
          </w:p>
        </w:tc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E8DFC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#E8DFCD</w:t>
            </w:r>
          </w:p>
        </w:tc>
        <w:tc>
          <w:tcPr>
            <w:tcW w:type="dxa" w:w="468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Borders, dividers, input outlines</w:t>
            </w:r>
          </w:p>
        </w:tc>
      </w:tr>
      <w:tr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ink-900</w:t>
            </w:r>
          </w:p>
        </w:tc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1F1B1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#1F1B16</w:t>
            </w:r>
          </w:p>
        </w:tc>
        <w:tc>
          <w:tcPr>
            <w:tcW w:type="dxa" w:w="468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Body &amp; headlines</w:t>
            </w:r>
          </w:p>
        </w:tc>
      </w:tr>
      <w:tr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ink-500</w:t>
            </w:r>
          </w:p>
        </w:tc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6B5F5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#6B5F50</w:t>
            </w:r>
          </w:p>
        </w:tc>
        <w:tc>
          <w:tcPr>
            <w:tcW w:type="dxa" w:w="468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Secondary text, captions, meta</w:t>
            </w:r>
          </w:p>
        </w:tc>
      </w:tr>
    </w:tbl>
    <w:p>
      <w:pPr>
        <w:pStyle w:val="Heading2"/>
        <w:spacing w:after="120" w:before="280"/>
      </w:pPr>
      <w:r>
        <w:rPr>
          <w:rFonts w:ascii="Inter" w:cs="Inter" w:eastAsia="Inter" w:hAnsi="Inter"/>
          <w:color w:val="4A0E1A"/>
        </w:rPr>
        <w:t xml:space="preserve">Semantic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F2EAD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F2EAD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Swatch / Hex</w:t>
            </w:r>
          </w:p>
        </w:tc>
        <w:tc>
          <w:tcPr>
            <w:tcW w:type="dxa" w:w="468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F2EAD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success</w:t>
            </w:r>
          </w:p>
        </w:tc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2F7D4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#2F7D4F</w:t>
            </w:r>
          </w:p>
        </w:tc>
        <w:tc>
          <w:tcPr>
            <w:tcW w:type="dxa" w:w="468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Contacted status, positive deltas</w:t>
            </w:r>
          </w:p>
        </w:tc>
      </w:tr>
      <w:tr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warn</w:t>
            </w:r>
          </w:p>
        </w:tc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B886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#B8862A</w:t>
            </w:r>
          </w:p>
        </w:tc>
        <w:tc>
          <w:tcPr>
            <w:tcW w:type="dxa" w:w="468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Enrolled status (uses gold family)</w:t>
            </w:r>
          </w:p>
        </w:tc>
      </w:tr>
      <w:tr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danger</w:t>
            </w:r>
          </w:p>
        </w:tc>
        <w:tc>
          <w:tcPr>
            <w:tcW w:type="dxa" w:w="234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A0293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#A02938</w:t>
            </w:r>
          </w:p>
        </w:tc>
        <w:tc>
          <w:tcPr>
            <w:tcW w:type="dxa" w:w="468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Destructive actions, delete hover</w:t>
            </w:r>
          </w:p>
        </w:tc>
      </w:tr>
    </w:tbl>
    <w:p>
      <w:pPr>
        <w:pStyle w:val="Heading2"/>
        <w:spacing w:after="120" w:before="280"/>
      </w:pPr>
      <w:r>
        <w:rPr>
          <w:rFonts w:ascii="Inter" w:cs="Inter" w:eastAsia="Inter" w:hAnsi="Inter"/>
          <w:color w:val="4A0E1A"/>
        </w:rPr>
        <w:t xml:space="preserve">Contrast &amp; 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All body text on ivory passes WCAG AA (#1F1B16 on #FAF6EE = 14.5:1).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Maroon-700 buttons on white pass AA at 7.6:1; on ivory at 7.1:1.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Gold is reserved for accents and large text — it is NOT used as a primary text color on light backgrounds.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Status pills use both colour and a leading dot/icon — never colour alone.</w:t>
      </w:r>
    </w:p>
    <w:p>
      <w:pPr>
        <w:pBdr>
          <w:bottom w:val="single" w:color="C8A96A" w:sz="6" w:space="1"/>
        </w:pBdr>
        <w:spacing w:after="200" w:before="60"/>
      </w:pPr>
      <w:r>
        <w:t xml:space="preserv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color w:val="6E1423"/>
        </w:rPr>
        <w:t xml:space="preserve">3 · Typography</w:t>
      </w:r>
    </w:p>
    <w:p>
      <w:pPr>
        <w:spacing w:after="12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Two type families. One for voice, one for clarity.</w:t>
      </w:r>
    </w:p>
    <w:p>
      <w:pPr>
        <w:pStyle w:val="Heading2"/>
        <w:spacing w:after="120" w:before="280"/>
      </w:pPr>
      <w:r>
        <w:rPr>
          <w:rFonts w:ascii="Inter" w:cs="Inter" w:eastAsia="Inter" w:hAnsi="Inter"/>
          <w:color w:val="4A0E1A"/>
        </w:rPr>
        <w:t xml:space="preserve">Type families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F2EAD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Family</w:t>
            </w:r>
          </w:p>
        </w:tc>
        <w:tc>
          <w:tcPr>
            <w:tcW w:type="dxa" w:w="24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F2EAD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Role</w:t>
            </w:r>
          </w:p>
        </w:tc>
        <w:tc>
          <w:tcPr>
            <w:tcW w:type="dxa" w:w="47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F2EAD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2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Fraunces (Serif)</w:t>
            </w:r>
          </w:p>
        </w:tc>
        <w:tc>
          <w:tcPr>
            <w:tcW w:type="dxa" w:w="24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Display, headlines, blockquotes, brand wordmark</w:t>
            </w:r>
          </w:p>
        </w:tc>
        <w:tc>
          <w:tcPr>
            <w:tcW w:type="dxa" w:w="47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A modern revival serif with optical sizing and an Italian flair — feels editorial, premium, and slightly traditional, mirroring the heritage of Indian classical music.</w:t>
            </w:r>
          </w:p>
        </w:tc>
      </w:tr>
      <w:tr>
        <w:tc>
          <w:tcPr>
            <w:tcW w:type="dxa" w:w="22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Inter (Sans)</w:t>
            </w:r>
          </w:p>
        </w:tc>
        <w:tc>
          <w:tcPr>
            <w:tcW w:type="dxa" w:w="24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Body, UI, labels, buttons, tables</w:t>
            </w:r>
          </w:p>
        </w:tc>
        <w:tc>
          <w:tcPr>
            <w:tcW w:type="dxa" w:w="47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The most legible UI font for screens. Strong x-height, neutral, ships with all weights. Pairs cleanly with Fraunces.</w:t>
            </w:r>
          </w:p>
        </w:tc>
      </w:tr>
    </w:tbl>
    <w:p>
      <w:pPr>
        <w:pStyle w:val="Heading2"/>
        <w:spacing w:after="120" w:before="280"/>
      </w:pPr>
      <w:r>
        <w:rPr>
          <w:rFonts w:ascii="Inter" w:cs="Inter" w:eastAsia="Inter" w:hAnsi="Inter"/>
          <w:color w:val="4A0E1A"/>
        </w:rPr>
        <w:t xml:space="preserve">Type scale (mobile → desktop, fluid)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F2EAD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Token</w:t>
            </w:r>
          </w:p>
        </w:tc>
        <w:tc>
          <w:tcPr>
            <w:tcW w:type="dxa" w:w="36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F2EAD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Size (mobile → desktop)</w:t>
            </w:r>
          </w:p>
        </w:tc>
        <w:tc>
          <w:tcPr>
            <w:tcW w:type="dxa" w:w="35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F2EAD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2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Display / H1</w:t>
            </w:r>
          </w:p>
        </w:tc>
        <w:tc>
          <w:tcPr>
            <w:tcW w:type="dxa" w:w="36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40 → 72 px · Fraunces 500 · -2.5% letter</w:t>
            </w:r>
          </w:p>
        </w:tc>
        <w:tc>
          <w:tcPr>
            <w:tcW w:type="dxa" w:w="35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Hero only. One per page.</w:t>
            </w:r>
          </w:p>
        </w:tc>
      </w:tr>
      <w:tr>
        <w:tc>
          <w:tcPr>
            <w:tcW w:type="dxa" w:w="22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H2 (Section)</w:t>
            </w:r>
          </w:p>
        </w:tc>
        <w:tc>
          <w:tcPr>
            <w:tcW w:type="dxa" w:w="36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28 → 44 px · Fraunces 500 · -2% letter</w:t>
            </w:r>
          </w:p>
        </w:tc>
        <w:tc>
          <w:tcPr>
            <w:tcW w:type="dxa" w:w="35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Section openers ("Choose your discipline").</w:t>
            </w:r>
          </w:p>
        </w:tc>
      </w:tr>
      <w:tr>
        <w:tc>
          <w:tcPr>
            <w:tcW w:type="dxa" w:w="22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H3 (Card title)</w:t>
            </w:r>
          </w:p>
        </w:tc>
        <w:tc>
          <w:tcPr>
            <w:tcW w:type="dxa" w:w="36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20 → 24 px · Fraunces 600</w:t>
            </w:r>
          </w:p>
        </w:tc>
        <w:tc>
          <w:tcPr>
            <w:tcW w:type="dxa" w:w="35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Course cards, location cards, panel titles.</w:t>
            </w:r>
          </w:p>
        </w:tc>
      </w:tr>
      <w:tr>
        <w:tc>
          <w:tcPr>
            <w:tcW w:type="dxa" w:w="22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Lead</w:t>
            </w:r>
          </w:p>
        </w:tc>
        <w:tc>
          <w:tcPr>
            <w:tcW w:type="dxa" w:w="36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17 → 18 px · Inter 400</w:t>
            </w:r>
          </w:p>
        </w:tc>
        <w:tc>
          <w:tcPr>
            <w:tcW w:type="dxa" w:w="35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Hero supporting copy, intro paragraphs.</w:t>
            </w:r>
          </w:p>
        </w:tc>
      </w:tr>
      <w:tr>
        <w:tc>
          <w:tcPr>
            <w:tcW w:type="dxa" w:w="22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Body</w:t>
            </w:r>
          </w:p>
        </w:tc>
        <w:tc>
          <w:tcPr>
            <w:tcW w:type="dxa" w:w="36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15 → 16 px · Inter 400</w:t>
            </w:r>
          </w:p>
        </w:tc>
        <w:tc>
          <w:tcPr>
            <w:tcW w:type="dxa" w:w="35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Default paragraph copy. Line-height 1.55.</w:t>
            </w:r>
          </w:p>
        </w:tc>
      </w:tr>
      <w:tr>
        <w:tc>
          <w:tcPr>
            <w:tcW w:type="dxa" w:w="22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Small / Meta</w:t>
            </w:r>
          </w:p>
        </w:tc>
        <w:tc>
          <w:tcPr>
            <w:tcW w:type="dxa" w:w="36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13 → 14 px · Inter 500</w:t>
            </w:r>
          </w:p>
        </w:tc>
        <w:tc>
          <w:tcPr>
            <w:tcW w:type="dxa" w:w="35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Captions, table cells, form helpers.</w:t>
            </w:r>
          </w:p>
        </w:tc>
      </w:tr>
      <w:tr>
        <w:tc>
          <w:tcPr>
            <w:tcW w:type="dxa" w:w="22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Eyebrow</w:t>
            </w:r>
          </w:p>
        </w:tc>
        <w:tc>
          <w:tcPr>
            <w:tcW w:type="dxa" w:w="36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12 px · Inter 600 · 0.18em tracked uppercase</w:t>
            </w:r>
          </w:p>
        </w:tc>
        <w:tc>
          <w:tcPr>
            <w:tcW w:type="dxa" w:w="35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Section labels above H2 ("COURSES")</w:t>
            </w:r>
          </w:p>
        </w:tc>
      </w:tr>
      <w:tr>
        <w:tc>
          <w:tcPr>
            <w:tcW w:type="dxa" w:w="22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Button</w:t>
            </w:r>
          </w:p>
        </w:tc>
        <w:tc>
          <w:tcPr>
            <w:tcW w:type="dxa" w:w="36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14–15 px · Inter 600</w:t>
            </w:r>
          </w:p>
        </w:tc>
        <w:tc>
          <w:tcPr>
            <w:tcW w:type="dxa" w:w="35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Sentence case, never all-caps.</w:t>
            </w:r>
          </w:p>
        </w:tc>
      </w:tr>
    </w:tbl>
    <w:p>
      <w:pPr>
        <w:pStyle w:val="Heading2"/>
        <w:spacing w:after="120" w:before="280"/>
      </w:pPr>
      <w:r>
        <w:rPr>
          <w:rFonts w:ascii="Inter" w:cs="Inter" w:eastAsia="Inter" w:hAnsi="Inter"/>
          <w:color w:val="4A0E1A"/>
        </w:rPr>
        <w:t xml:space="preserve">Pairing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Fraunces italic in maroon-700 for emphasised words inside H1/H2 ("your rhythm", "discipline"). Use sparingly — never two italic words in the same heading.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Numerals in metric cards always use Fraunces — they read like editorial pull-quotes, not dashboard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Body copy never goes below 14 px on mobile.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Line-length capped at ~60 characters for prose ("max-width: 60ch") to keep reading rhythm tight.</w:t>
      </w:r>
    </w:p>
    <w:p>
      <w:pPr>
        <w:pBdr>
          <w:bottom w:val="single" w:color="C8A96A" w:sz="6" w:space="1"/>
        </w:pBdr>
        <w:spacing w:after="200" w:before="60"/>
      </w:pPr>
      <w:r>
        <w:t xml:space="preserv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color w:val="6E1423"/>
        </w:rPr>
        <w:t xml:space="preserve">4 · Layout system</w:t>
      </w:r>
    </w:p>
    <w:p>
      <w:pPr>
        <w:pStyle w:val="Heading2"/>
        <w:spacing w:after="120" w:before="280"/>
      </w:pPr>
      <w:r>
        <w:rPr>
          <w:rFonts w:ascii="Inter" w:cs="Inter" w:eastAsia="Inter" w:hAnsi="Inter"/>
          <w:color w:val="4A0E1A"/>
        </w:rPr>
        <w:t xml:space="preserve">Grid &amp; spacing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Container max-width: 1200 px, with 20 px side gutter on mobile (16 px below 360).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Section vertical padding: 80 px desktop / 56 px mobile.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Spacing scale (px): 4, 8, 12, 16, 22, 28, 40, 56, 80. Everything snaps to this.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Grid: 12-column on desktop with 24 px gutter; auto-fit minmax(240px, 1fr) for card grids — naturally re-flows on any breakpoint.</w:t>
      </w:r>
    </w:p>
    <w:p>
      <w:pPr>
        <w:pStyle w:val="Heading2"/>
        <w:spacing w:after="120" w:before="280"/>
      </w:pPr>
      <w:r>
        <w:rPr>
          <w:rFonts w:ascii="Inter" w:cs="Inter" w:eastAsia="Inter" w:hAnsi="Inter"/>
          <w:color w:val="4A0E1A"/>
        </w:rPr>
        <w:t xml:space="preserve">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F2EAD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F2EAD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Min width</w:t>
            </w:r>
          </w:p>
        </w:tc>
        <w:tc>
          <w:tcPr>
            <w:tcW w:type="dxa" w:w="63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F2EAD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15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xs</w:t>
            </w:r>
          </w:p>
        </w:tc>
        <w:tc>
          <w:tcPr>
            <w:tcW w:type="dxa" w:w="15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0 px</w:t>
            </w:r>
          </w:p>
        </w:tc>
        <w:tc>
          <w:tcPr>
            <w:tcW w:type="dxa" w:w="63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Single column, full-bleed cards, sticky bottom-nothing — primary CTA always visible in nav.</w:t>
            </w:r>
          </w:p>
        </w:tc>
      </w:tr>
      <w:tr>
        <w:tc>
          <w:tcPr>
            <w:tcW w:type="dxa" w:w="15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sm</w:t>
            </w:r>
          </w:p>
        </w:tc>
        <w:tc>
          <w:tcPr>
            <w:tcW w:type="dxa" w:w="15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560 px</w:t>
            </w:r>
          </w:p>
        </w:tc>
        <w:tc>
          <w:tcPr>
            <w:tcW w:type="dxa" w:w="63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Form fields go 2-up.</w:t>
            </w:r>
          </w:p>
        </w:tc>
      </w:tr>
      <w:tr>
        <w:tc>
          <w:tcPr>
            <w:tcW w:type="dxa" w:w="15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md</w:t>
            </w:r>
          </w:p>
        </w:tc>
        <w:tc>
          <w:tcPr>
            <w:tcW w:type="dxa" w:w="15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760 px</w:t>
            </w:r>
          </w:p>
        </w:tc>
        <w:tc>
          <w:tcPr>
            <w:tcW w:type="dxa" w:w="63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Locations 2-up, gallery 4-up, footer 4-up.</w:t>
            </w:r>
          </w:p>
        </w:tc>
      </w:tr>
      <w:tr>
        <w:tc>
          <w:tcPr>
            <w:tcW w:type="dxa" w:w="15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lg</w:t>
            </w:r>
          </w:p>
        </w:tc>
        <w:tc>
          <w:tcPr>
            <w:tcW w:type="dxa" w:w="15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900 px</w:t>
            </w:r>
          </w:p>
        </w:tc>
        <w:tc>
          <w:tcPr>
            <w:tcW w:type="dxa" w:w="63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Hero splits into copy + visual. Top nav links appear.</w:t>
            </w:r>
          </w:p>
        </w:tc>
      </w:tr>
      <w:tr>
        <w:tc>
          <w:tcPr>
            <w:tcW w:type="dxa" w:w="15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xl</w:t>
            </w:r>
          </w:p>
        </w:tc>
        <w:tc>
          <w:tcPr>
            <w:tcW w:type="dxa" w:w="15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1100 px</w:t>
            </w:r>
          </w:p>
        </w:tc>
        <w:tc>
          <w:tcPr>
            <w:tcW w:type="dxa" w:w="63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Admin dashboard splits into 2/3 + 1/3.</w:t>
            </w:r>
          </w:p>
        </w:tc>
      </w:tr>
    </w:tbl>
    <w:p>
      <w:pPr>
        <w:pStyle w:val="Heading2"/>
        <w:spacing w:after="120" w:before="280"/>
      </w:pPr>
      <w:r>
        <w:rPr>
          <w:rFonts w:ascii="Inter" w:cs="Inter" w:eastAsia="Inter" w:hAnsi="Inter"/>
          <w:color w:val="4A0E1A"/>
        </w:rPr>
        <w:t xml:space="preserve">Radius, shadow, motion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Radius scale: 8 / 14 / 22 / 32 px. Cards use 22, modals &amp; big surfaces use 32.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Three shadow tiers (sh-1 → sh-3). All are warm, tinted with maroon at 8–14% — never neutral grey.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Motion: 200–350 ms with cubic-bezier(0.2, 0.8, 0.2, 1). Hover shifts use translateY(-2 to -4 px) and a shadow lift, never scale on cards (avoids text shimmer).</w:t>
      </w:r>
    </w:p>
    <w:p>
      <w:pPr>
        <w:pBdr>
          <w:bottom w:val="single" w:color="C8A96A" w:sz="6" w:space="1"/>
        </w:pBdr>
        <w:spacing w:after="200" w:before="60"/>
      </w:pPr>
      <w:r>
        <w:t xml:space="preserv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color w:val="6E1423"/>
        </w:rPr>
        <w:t xml:space="preserve">5 · Page layouts (section by section)</w:t>
      </w:r>
    </w:p>
    <w:p>
      <w:pPr>
        <w:spacing w:after="12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What sits on each surface, in the order it appears.</w:t>
      </w:r>
    </w:p>
    <w:p>
      <w:pPr>
        <w:pStyle w:val="Heading2"/>
        <w:spacing w:after="120" w:before="280"/>
      </w:pPr>
      <w:r>
        <w:rPr>
          <w:rFonts w:ascii="Inter" w:cs="Inter" w:eastAsia="Inter" w:hAnsi="Inter"/>
          <w:color w:val="4A0E1A"/>
        </w:rPr>
        <w:t xml:space="preserve">5.1  Landing page</w:t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1F1B16"/>
          <w:sz w:val="24"/>
          <w:szCs w:val="24"/>
        </w:rPr>
        <w:t xml:space="preserve">Sticky top nav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64 px tall, ivory background with backdrop blur once scrolled.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Left: 34 px brand mark + wordmark. Center: text links (≥ 900 px only). Right: Visitor/Admin pill toggle (hidden on mobile) + primary CTA "Book a Demo".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Mobile collapses to brand + CTA. The CTA is the navigation.</w:t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1F1B16"/>
          <w:sz w:val="24"/>
          <w:szCs w:val="24"/>
        </w:rPr>
        <w:t xml:space="preserve">Hero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Two-column on desktop (52% copy / 48% visual), single column on mobile.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H1 uses Fraunces with italicised "Rhythm" in maroon over a soft gold underline glow.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Eyebrow reads "Bhubaneswar · Two branches · Ages 5+" — geography, scale and eligibility answered in one 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Two CTAs: maroon "Enroll Now" (primary), ghost "Book a Free Demo" (secondary).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Trust strip below: 4 count-up stats (Disciplines · Branches · Minimum age · Open till) animated on scroll into 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Visual: three layered instrument cards (Tabla, Guitar, Vocal) with rotating tilt, floating music notes, mouse-parallax on desktop. No stock photography needed for v1.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Hero background carries a slow 18-second aurora drift of gold + maroon radial gradients behind the copy — adds warmth without distracting from the headline.</w:t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1F1B16"/>
          <w:sz w:val="24"/>
          <w:szCs w:val="24"/>
        </w:rPr>
        <w:t xml:space="preserve">Marquee ticker (below hero)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Thin maroon strip with a continuously scrolling gold-tinted ticker: "Now enrolling ages 5+", "Free demo class available", "1:1 &amp; small-group batches", "Two branches — Sailashree Vihar &amp; Gothapatna", "WhatsApp +91 9439395040".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Runs at 42-second cycle, left-drifting, with soft gradient fades on both edges so it never feels like a billboard.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Purpose: keeps the page alive and surfaces the five things a new visitor should know, without stealing attention from the hero.</w:t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1F1B16"/>
          <w:sz w:val="24"/>
          <w:szCs w:val="24"/>
        </w:rPr>
        <w:t xml:space="preserve">Courses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Section eyebrow "COURSES" + H2 "Choose your discipline."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6 cards — the actual programmes currently running at Beat Drops: Hindustani Vocal (ages 8+), Light Vocal &amp; Performance (ages 10+), Keyboard &amp; Piano Foundations (ages 6+), Guitar Essentials 1 (ages 9+), Tabla &amp; Rhythm Training (ages 8+), Kids Music Foundation (ages 4–8).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Card anatomy: top row = 54 px gold glyph + outlined mode pill ("One-to-one / Group", "Small Group"); then H3; 1-line description; bottom meta row (age pill + "Batch schedule shared during enquiry").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On hover: card lifts and subtly tilts in 3D (rotateX/Y ≤ 6°), gold border appears, glyph inverts to maroon-on-gold and rotates 6°.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Grid auto-fits: 1 col on phone, 2 col on tablet, 3 col on desktop.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Mode pill intentionally lives next to the glyph, not at the bottom, so visitors see delivery format at a glance — the first question parents ask.</w:t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1F1B16"/>
          <w:sz w:val="24"/>
          <w:szCs w:val="24"/>
        </w:rPr>
        <w:t xml:space="preserve">About 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Two-column. Left: H2 + body + 3 numbered "about-points" cards (Mentor-led, Structured curriculum, Performance-first).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Right: dark maroon "mentor card" — italic blockquote in Fraunces, mentor attribution, animated equalizer at bottom (subtle musical signal of life).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This is the section that sells trust, not the hero.</w:t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1F1B16"/>
          <w:sz w:val="24"/>
          <w:szCs w:val="24"/>
        </w:rPr>
        <w:t xml:space="preserve">Branches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Two real branches side-by-side (stack on mobile): Sailashree Vihar (Saswat Vihar, Plot 30, Sailashree Vihar, Patia, Bhubaneswar 751021) and Gothapatna (Acropolis Apartment, B-202, Gothapatna, Bhubaneswar 751003).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Each card: 180 px map preview (CSS grid + diagonal "roads" + animated pulsing pin) with an "Open till 10 PM" glass chip → branch badge → name → one-line catchment ("Perfect for Patia &amp; north-side learners" / "Great for west-side &amp; student-community batches") → full address → "Open map" (Google Maps link) + "Call branch" (+91 9439395040).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Both "Open map" buttons link to the verified Google Maps share URLs supplied by Beat Drops.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Same phone number drives both call and WhatsApp; WhatsApp is also accessible from a floating green FAB in the bottom-right corner of every screen.</w:t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1F1B16"/>
          <w:sz w:val="24"/>
          <w:szCs w:val="24"/>
        </w:rPr>
        <w:t xml:space="preserve">Highlights / Advertisement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3 colored cards (deep maroon, lighter maroon, gold) for "New batch", "Free demo", "Event". Each carries a tag, headline, micro-copy and CTA.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This is editable from the admin dashboard in v2 (CMS-backed).</w:t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1F1B16"/>
          <w:sz w:val="24"/>
          <w:szCs w:val="24"/>
        </w:rPr>
        <w:t xml:space="preserve">Gallery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Asymmetric grid — one tall tile, two wide tiles, four standard tiles. Captions reveal on the dark gradient overlay.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In production: replace gradients with student photos / performance stills.</w:t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1F1B16"/>
          <w:sz w:val="24"/>
          <w:szCs w:val="24"/>
        </w:rPr>
        <w:t xml:space="preserve">Enquiry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Two-column. Left: H2 + 4-point trust list (free demo, personalised path, no commitment, WhatsApp/Odia support).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Right: a single white form card on a sand-to-ivory background.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Fields, top to bottom: Name + Phone (row), Course + Age (row), Message. Submit button right-aligned with privacy 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Submit triggers a maroon toast at the bottom of the screen confirming receipt within 24 hours.</w:t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1F1B16"/>
          <w:sz w:val="24"/>
          <w:szCs w:val="24"/>
        </w:rPr>
        <w:t xml:space="preserve">Footer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Dark maroon (#1A0509) with gold accents. 4 columns: brand + tagline + socials, Courses, Academy, Contact.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Closes with copyright and a "Made with ♪ in Bhubaneswar" line — small detail, big personality.</w:t>
      </w:r>
    </w:p>
    <w:p>
      <w:pPr>
        <w:pStyle w:val="Heading2"/>
        <w:spacing w:after="120" w:before="280"/>
      </w:pPr>
      <w:r>
        <w:rPr>
          <w:rFonts w:ascii="Inter" w:cs="Inter" w:eastAsia="Inter" w:hAnsi="Inter"/>
          <w:color w:val="4A0E1A"/>
        </w:rPr>
        <w:t xml:space="preserve">5.2  Admin dashboard (after Google sign-in)</w:t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1F1B16"/>
          <w:sz w:val="24"/>
          <w:szCs w:val="24"/>
        </w:rPr>
        <w:t xml:space="preserve">Shell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Two-column: 240 px maroon sidebar + fluid main. Sidebar collapses below desktop into a top-only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Sidebar: brand → Workspace nav (Dashboard, Enquiries with badge count, Courses, Locations) → Settings → user chip with avatar + email at the bottom.</w:t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1F1B16"/>
          <w:sz w:val="24"/>
          <w:szCs w:val="24"/>
        </w:rPr>
        <w:t xml:space="preserve">Top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Greeting H1 ("Welcome back, Kamal 👋") + sub line. Right side: Visitor/Admin toggle + search input.</w:t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1F1B16"/>
          <w:sz w:val="24"/>
          <w:szCs w:val="24"/>
        </w:rPr>
        <w:t xml:space="preserve">Overview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4 metric cards in an auto-fit row: Total Enquiries · New (this week) · Contacted · Top Course.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Each has: icon tile, label, big numeral (Fraunces), delta line (success-green/maroon-red), and a sparkline drawn in SVG.</w:t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1F1B16"/>
          <w:sz w:val="24"/>
          <w:szCs w:val="24"/>
        </w:rPr>
        <w:t xml:space="preserve">Recent enquiries panel (2/3 width)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Filter chips (All / New / Contacted) + Course dropdown + Date dropdown.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Table columns: Student (avatar + name + phone) · Course (gold pill) · Date · Status (colour + dot) · Actions (Mark contacted ✓, Call, Delete).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Rows hover with a warm cream tint. Table scrolls horizontally on mobile rather than collapsing to cards — admins want the whole record at once.</w:t>
      </w:r>
    </w:p>
    <w:p>
      <w:pPr>
        <w:pStyle w:val="Heading3"/>
        <w:spacing w:after="80" w:before="200"/>
      </w:pPr>
      <w:r>
        <w:rPr>
          <w:rFonts w:ascii="Inter" w:cs="Inter" w:eastAsia="Inter" w:hAnsi="Inter"/>
          <w:b/>
          <w:bCs/>
          <w:color w:val="1F1B16"/>
          <w:sz w:val="24"/>
          <w:szCs w:val="24"/>
        </w:rPr>
        <w:t xml:space="preserve">Right column (1/3 width)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Course Popularity panel: 6 progress bars in maroon→gold gradient. Auto-sorted by share.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Tip-of-the-day card on a dark maroon surface — operational nudge, e.g. "Reply within 24 hrs".</w:t>
      </w:r>
    </w:p>
    <w:p>
      <w:pPr>
        <w:pBdr>
          <w:bottom w:val="single" w:color="C8A96A" w:sz="6" w:space="1"/>
        </w:pBdr>
        <w:spacing w:after="200" w:before="60"/>
      </w:pPr>
      <w:r>
        <w:t xml:space="preserv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color w:val="6E1423"/>
        </w:rPr>
        <w:t xml:space="preserve">6 · UI component breakdown</w:t>
      </w:r>
    </w:p>
    <w:p>
      <w:pPr>
        <w:spacing w:after="12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Every component below is built once and reused across both views. Each ships in default + hover + focus + disabled states.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F2EAD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F2EAD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F2EAD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States / variants</w:t>
            </w:r>
          </w:p>
        </w:tc>
      </w:tr>
      <w:tr>
        <w:tc>
          <w:tcPr>
            <w:tcW w:type="dxa" w:w="24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Button — Primary</w:t>
            </w:r>
          </w:p>
        </w:tc>
        <w:tc>
          <w:tcPr>
            <w:tcW w:type="dxa" w:w="26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Strongest action (Enrol, Submit, Book demo)</w:t>
            </w:r>
          </w:p>
        </w:tc>
        <w:tc>
          <w:tcPr>
            <w:tcW w:type="dxa" w:w="43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default · hover (lift + maroon-800) · focus (4 px maroon ring) · disabled · loading (spinner)</w:t>
            </w:r>
          </w:p>
        </w:tc>
      </w:tr>
      <w:tr>
        <w:tc>
          <w:tcPr>
            <w:tcW w:type="dxa" w:w="24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Button — Ghost</w:t>
            </w:r>
          </w:p>
        </w:tc>
        <w:tc>
          <w:tcPr>
            <w:tcW w:type="dxa" w:w="26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Secondary action (Book Demo, Call Centre)</w:t>
            </w:r>
          </w:p>
        </w:tc>
        <w:tc>
          <w:tcPr>
            <w:tcW w:type="dxa" w:w="43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default · hover (gold border) · focus · disabled</w:t>
            </w:r>
          </w:p>
        </w:tc>
      </w:tr>
      <w:tr>
        <w:tc>
          <w:tcPr>
            <w:tcW w:type="dxa" w:w="24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Button — Gold</w:t>
            </w:r>
          </w:p>
        </w:tc>
        <w:tc>
          <w:tcPr>
            <w:tcW w:type="dxa" w:w="26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Inverted CTA on dark surfaces (admin tip card)</w:t>
            </w:r>
          </w:p>
        </w:tc>
        <w:tc>
          <w:tcPr>
            <w:tcW w:type="dxa" w:w="43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default · hover (gold-300) · focus</w:t>
            </w:r>
          </w:p>
        </w:tc>
      </w:tr>
      <w:tr>
        <w:tc>
          <w:tcPr>
            <w:tcW w:type="dxa" w:w="24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Pill / Badge</w:t>
            </w:r>
          </w:p>
        </w:tc>
        <w:tc>
          <w:tcPr>
            <w:tcW w:type="dxa" w:w="26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Course tags, level indicators, "New batch"</w:t>
            </w:r>
          </w:p>
        </w:tc>
        <w:tc>
          <w:tcPr>
            <w:tcW w:type="dxa" w:w="43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5 colour variants — sand, gold, maroon, success, danger</w:t>
            </w:r>
          </w:p>
        </w:tc>
      </w:tr>
      <w:tr>
        <w:tc>
          <w:tcPr>
            <w:tcW w:type="dxa" w:w="24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Card — Course</w:t>
            </w:r>
          </w:p>
        </w:tc>
        <w:tc>
          <w:tcPr>
            <w:tcW w:type="dxa" w:w="26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Showcase a discipline on the landing page</w:t>
            </w:r>
          </w:p>
        </w:tc>
        <w:tc>
          <w:tcPr>
            <w:tcW w:type="dxa" w:w="43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default · hover (lift + gold border + inverted glyph)</w:t>
            </w:r>
          </w:p>
        </w:tc>
      </w:tr>
      <w:tr>
        <w:tc>
          <w:tcPr>
            <w:tcW w:type="dxa" w:w="24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Card — Location</w:t>
            </w:r>
          </w:p>
        </w:tc>
        <w:tc>
          <w:tcPr>
            <w:tcW w:type="dxa" w:w="26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Show a centre with map + actions</w:t>
            </w:r>
          </w:p>
        </w:tc>
        <w:tc>
          <w:tcPr>
            <w:tcW w:type="dxa" w:w="43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default · hover (lift + shadow)</w:t>
            </w:r>
          </w:p>
        </w:tc>
      </w:tr>
      <w:tr>
        <w:tc>
          <w:tcPr>
            <w:tcW w:type="dxa" w:w="24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Card — Highlight</w:t>
            </w:r>
          </w:p>
        </w:tc>
        <w:tc>
          <w:tcPr>
            <w:tcW w:type="dxa" w:w="26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Promotional / event card with image gradient</w:t>
            </w:r>
          </w:p>
        </w:tc>
        <w:tc>
          <w:tcPr>
            <w:tcW w:type="dxa" w:w="43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3 background tones (deep maroon, mid maroon, gold)</w:t>
            </w:r>
          </w:p>
        </w:tc>
      </w:tr>
      <w:tr>
        <w:tc>
          <w:tcPr>
            <w:tcW w:type="dxa" w:w="24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Card — Metric</w:t>
            </w:r>
          </w:p>
        </w:tc>
        <w:tc>
          <w:tcPr>
            <w:tcW w:type="dxa" w:w="26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Single KPI on admin dashboard</w:t>
            </w:r>
          </w:p>
        </w:tc>
        <w:tc>
          <w:tcPr>
            <w:tcW w:type="dxa" w:w="43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positive delta (green) · negative delta (red) · neutral</w:t>
            </w:r>
          </w:p>
        </w:tc>
      </w:tr>
      <w:tr>
        <w:tc>
          <w:tcPr>
            <w:tcW w:type="dxa" w:w="24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Form field</w:t>
            </w:r>
          </w:p>
        </w:tc>
        <w:tc>
          <w:tcPr>
            <w:tcW w:type="dxa" w:w="26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Labelled input / select / textarea</w:t>
            </w:r>
          </w:p>
        </w:tc>
        <w:tc>
          <w:tcPr>
            <w:tcW w:type="dxa" w:w="43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default · focus (maroon border + halo) · error · success · disabled · with helper text</w:t>
            </w:r>
          </w:p>
        </w:tc>
      </w:tr>
      <w:tr>
        <w:tc>
          <w:tcPr>
            <w:tcW w:type="dxa" w:w="24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Status chip</w:t>
            </w:r>
          </w:p>
        </w:tc>
        <w:tc>
          <w:tcPr>
            <w:tcW w:type="dxa" w:w="26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Enquiry status (New / Contacted / Enrolled)</w:t>
            </w:r>
          </w:p>
        </w:tc>
        <w:tc>
          <w:tcPr>
            <w:tcW w:type="dxa" w:w="43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3 states — colour + leading dot + label</w:t>
            </w:r>
          </w:p>
        </w:tc>
      </w:tr>
      <w:tr>
        <w:tc>
          <w:tcPr>
            <w:tcW w:type="dxa" w:w="24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Filter chip</w:t>
            </w:r>
          </w:p>
        </w:tc>
        <w:tc>
          <w:tcPr>
            <w:tcW w:type="dxa" w:w="26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Switchable filter on admin table</w:t>
            </w:r>
          </w:p>
        </w:tc>
        <w:tc>
          <w:tcPr>
            <w:tcW w:type="dxa" w:w="43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default · active (maroon fill)</w:t>
            </w:r>
          </w:p>
        </w:tc>
      </w:tr>
      <w:tr>
        <w:tc>
          <w:tcPr>
            <w:tcW w:type="dxa" w:w="24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Tabular records with avatars + actions</w:t>
            </w:r>
          </w:p>
        </w:tc>
        <w:tc>
          <w:tcPr>
            <w:tcW w:type="dxa" w:w="43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default · row-hover · selected (future) · empty state</w:t>
            </w:r>
          </w:p>
        </w:tc>
      </w:tr>
      <w:tr>
        <w:tc>
          <w:tcPr>
            <w:tcW w:type="dxa" w:w="24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Sidebar nav item</w:t>
            </w:r>
          </w:p>
        </w:tc>
        <w:tc>
          <w:tcPr>
            <w:tcW w:type="dxa" w:w="26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Section navigation in admin</w:t>
            </w:r>
          </w:p>
        </w:tc>
        <w:tc>
          <w:tcPr>
            <w:tcW w:type="dxa" w:w="43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default · hover · active (gold-tinted background)</w:t>
            </w:r>
          </w:p>
        </w:tc>
      </w:tr>
      <w:tr>
        <w:tc>
          <w:tcPr>
            <w:tcW w:type="dxa" w:w="24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Avatar</w:t>
            </w:r>
          </w:p>
        </w:tc>
        <w:tc>
          <w:tcPr>
            <w:tcW w:type="dxa" w:w="26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Initials circle with maroon→gold gradient</w:t>
            </w:r>
          </w:p>
        </w:tc>
        <w:tc>
          <w:tcPr>
            <w:tcW w:type="dxa" w:w="43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3 size variants (28 / 32 / 40 px)</w:t>
            </w:r>
          </w:p>
        </w:tc>
      </w:tr>
      <w:tr>
        <w:tc>
          <w:tcPr>
            <w:tcW w:type="dxa" w:w="24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Modal</w:t>
            </w:r>
          </w:p>
        </w:tc>
        <w:tc>
          <w:tcPr>
            <w:tcW w:type="dxa" w:w="26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Sign-in &amp; confirmation dialogs</w:t>
            </w:r>
          </w:p>
        </w:tc>
        <w:tc>
          <w:tcPr>
            <w:tcW w:type="dxa" w:w="43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open · closing · with form</w:t>
            </w:r>
          </w:p>
        </w:tc>
      </w:tr>
      <w:tr>
        <w:tc>
          <w:tcPr>
            <w:tcW w:type="dxa" w:w="24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Toast</w:t>
            </w:r>
          </w:p>
        </w:tc>
        <w:tc>
          <w:tcPr>
            <w:tcW w:type="dxa" w:w="26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Confirmation after enquiry submit</w:t>
            </w:r>
          </w:p>
        </w:tc>
        <w:tc>
          <w:tcPr>
            <w:tcW w:type="dxa" w:w="43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success (default) · error variant</w:t>
            </w:r>
          </w:p>
        </w:tc>
      </w:tr>
      <w:tr>
        <w:tc>
          <w:tcPr>
            <w:tcW w:type="dxa" w:w="24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Eyebrow label</w:t>
            </w:r>
          </w:p>
        </w:tc>
        <w:tc>
          <w:tcPr>
            <w:tcW w:type="dxa" w:w="26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Section preface above H2</w:t>
            </w:r>
          </w:p>
        </w:tc>
        <w:tc>
          <w:tcPr>
            <w:tcW w:type="dxa" w:w="43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maroon · gold variants</w:t>
            </w:r>
          </w:p>
        </w:tc>
      </w:tr>
    </w:tbl>
    <w:p>
      <w:pPr>
        <w:pBdr>
          <w:bottom w:val="single" w:color="C8A96A" w:sz="6" w:space="1"/>
        </w:pBdr>
        <w:spacing w:after="200" w:before="60"/>
      </w:pPr>
      <w:r>
        <w:t xml:space="preserv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color w:val="6E1423"/>
        </w:rPr>
        <w:t xml:space="preserve">7 · UX reasoning</w:t>
      </w:r>
    </w:p>
    <w:p>
      <w:pPr>
        <w:spacing w:after="12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Why the page is structured this way, section by section. The order is not aesthetic — it tracks the question a parent or student asks at each scroll depth.</w:t>
      </w:r>
    </w:p>
    <w:p>
      <w:pPr>
        <w:pStyle w:val="Heading2"/>
        <w:spacing w:after="120" w:before="280"/>
      </w:pPr>
      <w:r>
        <w:rPr>
          <w:rFonts w:ascii="Inter" w:cs="Inter" w:eastAsia="Inter" w:hAnsi="Inter"/>
          <w:color w:val="4A0E1A"/>
        </w:rPr>
        <w:t xml:space="preserve">Hero — "Is this for me?"</w:t>
      </w:r>
    </w:p>
    <w:p>
      <w:pPr>
        <w:spacing w:after="12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First fold answers identity (Beat Drops Music Academy) and promise ("Discover Your Rhythm"). Two CTAs split intent: high-intent visitors (Enrol Now) vs exploring visitors (Book a Free Demo). The visual collage signals "we teach more than one thing" without text. The trust strip immediately below hits the next question — "is this real?" — with concrete numbers.</w:t>
      </w:r>
    </w:p>
    <w:p>
      <w:pPr>
        <w:pStyle w:val="Heading2"/>
        <w:spacing w:after="120" w:before="280"/>
      </w:pPr>
      <w:r>
        <w:rPr>
          <w:rFonts w:ascii="Inter" w:cs="Inter" w:eastAsia="Inter" w:hAnsi="Inter"/>
          <w:color w:val="4A0E1A"/>
        </w:rPr>
        <w:t xml:space="preserve">Courses — "What do you actually teach?"</w:t>
      </w:r>
    </w:p>
    <w:p>
      <w:pPr>
        <w:spacing w:after="12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A 6-card grid is the next thing visitors scroll for. Every discipline gets equal visual weight — from Kids Music Foundation (the entry programme for 4–8 year olds) to Guitar Essentials 1. The mode pill ("One-to-one / Group" or "Small Group") answers the most-asked parent question before they even read the card. The age pill filters expectations quickly.</w:t>
      </w:r>
    </w:p>
    <w:p>
      <w:pPr>
        <w:pStyle w:val="Heading2"/>
        <w:spacing w:after="120" w:before="280"/>
      </w:pPr>
      <w:r>
        <w:rPr>
          <w:rFonts w:ascii="Inter" w:cs="Inter" w:eastAsia="Inter" w:hAnsi="Inter"/>
          <w:color w:val="4A0E1A"/>
        </w:rPr>
        <w:t xml:space="preserve">About — "Can I trust them?"</w:t>
      </w:r>
    </w:p>
    <w:p>
      <w:pPr>
        <w:spacing w:after="12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After courses, visitors want to vet the academy. The numbered points (mentor-led, structured curriculum, performance-first) read like differentiators against a typical local academy. The mentor blockquote on a dark maroon surface adds a human face — and the animated equalizer is a tiny, deliberate moment of musical personality.</w:t>
      </w:r>
    </w:p>
    <w:p>
      <w:pPr>
        <w:pStyle w:val="Heading2"/>
        <w:spacing w:after="120" w:before="280"/>
      </w:pPr>
      <w:r>
        <w:rPr>
          <w:rFonts w:ascii="Inter" w:cs="Inter" w:eastAsia="Inter" w:hAnsi="Inter"/>
          <w:color w:val="4A0E1A"/>
        </w:rPr>
        <w:t xml:space="preserve">Branches — "Where, and is it convenient?"</w:t>
      </w:r>
    </w:p>
    <w:p>
      <w:pPr>
        <w:spacing w:after="12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For a Bhubaneswar audience, address + distance is decisive. Both branches — Sailashree Vihar (Patia / north-side) and Gothapatna (west-side / student communities) — get equal real estate. "Open map" deep-links to the real Google Maps share URL for each branch; "Call branch" dials +91 9439395040 on mobile. An "Open till 10 PM" chip sits on each map preview because late-evening availability is a key decider for working parents.</w:t>
      </w:r>
    </w:p>
    <w:p>
      <w:pPr>
        <w:pStyle w:val="Heading2"/>
        <w:spacing w:after="120" w:before="280"/>
      </w:pPr>
      <w:r>
        <w:rPr>
          <w:rFonts w:ascii="Inter" w:cs="Inter" w:eastAsia="Inter" w:hAnsi="Inter"/>
          <w:color w:val="4A0E1A"/>
        </w:rPr>
        <w:t xml:space="preserve">Highlights — "What's happening right now?"</w:t>
      </w:r>
    </w:p>
    <w:p>
      <w:pPr>
        <w:spacing w:after="12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Recency builds urgency. Demos, new batches and recitals occupy this slot — the only section likely to be CMS-edited weekly. Three cards is the right cadence; four feels like inventory, two feels thin.</w:t>
      </w:r>
    </w:p>
    <w:p>
      <w:pPr>
        <w:pStyle w:val="Heading2"/>
        <w:spacing w:after="120" w:before="280"/>
      </w:pPr>
      <w:r>
        <w:rPr>
          <w:rFonts w:ascii="Inter" w:cs="Inter" w:eastAsia="Inter" w:hAnsi="Inter"/>
          <w:color w:val="4A0E1A"/>
        </w:rPr>
        <w:t xml:space="preserve">Gallery — "Show me, don't tell me."</w:t>
      </w:r>
    </w:p>
    <w:p>
      <w:pPr>
        <w:spacing w:after="12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Visual proof complements the verbal claims above. The asymmetric grid keeps it from feeling like a plain photo album — closer to an editorial spread. Captions add light context without dominating.</w:t>
      </w:r>
    </w:p>
    <w:p>
      <w:pPr>
        <w:pStyle w:val="Heading2"/>
        <w:spacing w:after="120" w:before="280"/>
      </w:pPr>
      <w:r>
        <w:rPr>
          <w:rFonts w:ascii="Inter" w:cs="Inter" w:eastAsia="Inter" w:hAnsi="Inter"/>
          <w:color w:val="4A0E1A"/>
        </w:rPr>
        <w:t xml:space="preserve">Enquiry form — "OK I'm in, what now?"</w:t>
      </w:r>
    </w:p>
    <w:p>
      <w:pPr>
        <w:spacing w:after="12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Five fields, two of them optional. Phone is required because WhatsApp is the actual conversion channel in India. Submission produces an immediate, calm confirmation toast — no full-page redirect, no anxiety. Privacy line under the button preempts the "what will you do with my data" worry.</w:t>
      </w:r>
    </w:p>
    <w:p>
      <w:pPr>
        <w:pStyle w:val="Heading2"/>
        <w:spacing w:after="120" w:before="280"/>
      </w:pPr>
      <w:r>
        <w:rPr>
          <w:rFonts w:ascii="Inter" w:cs="Inter" w:eastAsia="Inter" w:hAnsi="Inter"/>
          <w:color w:val="4A0E1A"/>
        </w:rPr>
        <w:t xml:space="preserve">Admin dashboard — "Did anyone new write in?"</w:t>
      </w:r>
    </w:p>
    <w:p>
      <w:pPr>
        <w:spacing w:after="12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Admins have one question every morning. The metric row answers it before they read anything else: Total · New this week · Contacted · Top course. Below, the recent enquiries panel takes 2/3 of the width because that is the actual job. Filter chips (All / New / Contacted) sit above the table because they are the most-used filter; date and course are secondary, in dropdowns.</w:t>
      </w:r>
    </w:p>
    <w:p>
      <w:pPr>
        <w:spacing w:after="12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Row-level actions (Mark contacted, Call, Delete) are icon-only with tooltip to keep the table dense. The course-popularity panel and tip-of-the-day card occupy the right column — supportive context, not the main job.</w:t>
      </w:r>
    </w:p>
    <w:p>
      <w:pPr>
        <w:pStyle w:val="Heading2"/>
        <w:spacing w:after="120" w:before="280"/>
      </w:pPr>
      <w:r>
        <w:rPr>
          <w:rFonts w:ascii="Inter" w:cs="Inter" w:eastAsia="Inter" w:hAnsi="Inter"/>
          <w:color w:val="4A0E1A"/>
        </w:rPr>
        <w:t xml:space="preserve">Authentication</w:t>
      </w:r>
    </w:p>
    <w:p>
      <w:pPr>
        <w:spacing w:after="12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Only admins log in, and only via Google. The visitor never sees an account flow, which removes the single biggest source of drop-off on enquiry sites. The Visitor/Admin pill in the nav is a designer-and-stakeholder convenience for review; in production it appears only when an authenticated admin is on the public site.</w:t>
      </w:r>
    </w:p>
    <w:p>
      <w:pPr>
        <w:pBdr>
          <w:bottom w:val="single" w:color="C8A96A" w:sz="6" w:space="1"/>
        </w:pBdr>
        <w:spacing w:after="200" w:before="60"/>
      </w:pPr>
      <w:r>
        <w:t xml:space="preserv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color w:val="6E1423"/>
        </w:rPr>
        <w:t xml:space="preserve">8 · Interaction &amp; motion — "lively, not loud"</w:t>
      </w:r>
    </w:p>
    <w:p>
      <w:pPr>
        <w:spacing w:after="12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The motion layer is tuned to feel alive without feeling busy. Everything is gated behind prefers-reduced-motion. There are three layers: ambient (always on, slow), scroll (fires once), and interaction (fires on input).</w:t>
      </w:r>
    </w:p>
    <w:p>
      <w:pPr>
        <w:pStyle w:val="Heading2"/>
        <w:spacing w:after="120" w:before="280"/>
      </w:pPr>
      <w:r>
        <w:rPr>
          <w:rFonts w:ascii="Inter" w:cs="Inter" w:eastAsia="Inter" w:hAnsi="Inter"/>
          <w:color w:val="4A0E1A"/>
        </w:rPr>
        <w:t xml:space="preserve">Ambient motion (always 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Hero aurora — maroon + gold radial gradients drift behind the headline on an 18-second loop. Barely perceptible; supplies warmth.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Floating music notes (♪ ♫ ♩) in the hero with a 6-second float loop and 0.5–0.85 opacity.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Equalizer bars in the mentor card — 7-bar scale-Y loop, evokes a living soundwave.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Branch map pin — continuous radial pulse in maroon / gold.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Marquee ticker — 42-second horizontal scroll with edge-fades.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WhatsApp FAB — 2.2-second green ring pulse. Subtle but always inviting.</w:t>
      </w:r>
    </w:p>
    <w:p>
      <w:pPr>
        <w:pStyle w:val="Heading2"/>
        <w:spacing w:after="120" w:before="280"/>
      </w:pPr>
      <w:r>
        <w:rPr>
          <w:rFonts w:ascii="Inter" w:cs="Inter" w:eastAsia="Inter" w:hAnsi="Inter"/>
          <w:color w:val="4A0E1A"/>
        </w:rPr>
        <w:t xml:space="preserve">Scroll-triggered motion (fires once)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.reveal class fades + slides content up 22 px as it enters the viewport (700 ms, ease-out).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.reveal-stagger cascades child elements at 80 ms intervals — used for course cards, branches, highlights, gallery.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Trust-strip numbers count up from 0 to their target (1.2 s, ease-out-cubic) when the strip scrolls into 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Hero music-note layer has a gentle scroll-parallax (0.15 factor) so it follows the reader down the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All observed via a single IntersectionObserver — cheap, no scroll listeners.</w:t>
      </w:r>
    </w:p>
    <w:p>
      <w:pPr>
        <w:pStyle w:val="Heading2"/>
        <w:spacing w:after="120" w:before="280"/>
      </w:pPr>
      <w:r>
        <w:rPr>
          <w:rFonts w:ascii="Inter" w:cs="Inter" w:eastAsia="Inter" w:hAnsi="Inter"/>
          <w:color w:val="4A0E1A"/>
        </w:rPr>
        <w:t xml:space="preserve">Interaction motion (on input)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Course cards: 3D tilt (rotateX/Y ≤ 6°) that tracks the cursor on desktop; glyph rotates 6° and colour-inverts on hover. Disabled on touch devices.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Hero instrument cards: cursor-parallax, each translating at a different factor for depth.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Buttons lift 1–2 px with shadow increase on hover. Never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Form fields: 200 ms border-color + 4 px maroon halo on focus.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Toast slides up from the bottom on submit, auto-dismisses after 3.2 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All transitions use cubic-bezier(0.2, 0.8, 0.2, 1) and stay under 700 ms.</w:t>
      </w:r>
    </w:p>
    <w:p>
      <w:pPr>
        <w:pStyle w:val="Heading2"/>
        <w:spacing w:after="120" w:before="280"/>
      </w:pPr>
      <w:r>
        <w:rPr>
          <w:rFonts w:ascii="Inter" w:cs="Inter" w:eastAsia="Inter" w:hAnsi="Inter"/>
          <w:color w:val="4A0E1A"/>
        </w:rPr>
        <w:t xml:space="preserve">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prefers-reduced-motion: reduce disables aurora, ticker, equalizer, note-floats, count-up, tilt, and scroll reveals — content is shown statically with no loss of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Ticker has aria-hidden="true" — it carries no unique information that isn't also in the main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WhatsApp FAB has a full aria-label; icon is decorative.</w:t>
      </w:r>
    </w:p>
    <w:p>
      <w:pPr>
        <w:pBdr>
          <w:bottom w:val="single" w:color="C8A96A" w:sz="6" w:space="1"/>
        </w:pBdr>
        <w:spacing w:after="200" w:before="60"/>
      </w:pPr>
      <w:r>
        <w:t xml:space="preserv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color w:val="6E1423"/>
        </w:rPr>
        <w:t xml:space="preserve">9 · Responsive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3960"/>
      </w:tblGrid>
      <w:tr>
        <w:trPr>
          <w:tblHeader/>
        </w:trPr>
        <w:tc>
          <w:tcPr>
            <w:tcW w:type="dxa" w:w="19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F2EAD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Section</w:t>
            </w:r>
          </w:p>
        </w:tc>
        <w:tc>
          <w:tcPr>
            <w:tcW w:type="dxa" w:w="35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F2EAD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Mobile (≤ 559 px)</w:t>
            </w:r>
          </w:p>
        </w:tc>
        <w:tc>
          <w:tcPr>
            <w:tcW w:type="dxa" w:w="39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shd w:fill="F2EAD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F1B16"/>
                <w:sz w:val="20"/>
                <w:szCs w:val="20"/>
              </w:rPr>
              <w:t xml:space="preserve">Tablet &amp; desktop</w:t>
            </w:r>
          </w:p>
        </w:tc>
      </w:tr>
      <w:tr>
        <w:tc>
          <w:tcPr>
            <w:tcW w:type="dxa" w:w="19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Top nav</w:t>
            </w:r>
          </w:p>
        </w:tc>
        <w:tc>
          <w:tcPr>
            <w:tcW w:type="dxa" w:w="35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Brand + primary CTA only. Links hidden.</w:t>
            </w:r>
          </w:p>
        </w:tc>
        <w:tc>
          <w:tcPr>
            <w:tcW w:type="dxa" w:w="39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≥ 900 px shows full nav. Visitor/Admin toggle appears.</w:t>
            </w:r>
          </w:p>
        </w:tc>
      </w:tr>
      <w:tr>
        <w:tc>
          <w:tcPr>
            <w:tcW w:type="dxa" w:w="19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Hero</w:t>
            </w:r>
          </w:p>
        </w:tc>
        <w:tc>
          <w:tcPr>
            <w:tcW w:type="dxa" w:w="35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Single column. Visual collapses to ~340 px above the trust strip.</w:t>
            </w:r>
          </w:p>
        </w:tc>
        <w:tc>
          <w:tcPr>
            <w:tcW w:type="dxa" w:w="39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Two-column at 960 px. Visual area expands to 520 px.</w:t>
            </w:r>
          </w:p>
        </w:tc>
      </w:tr>
      <w:tr>
        <w:tc>
          <w:tcPr>
            <w:tcW w:type="dxa" w:w="19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Courses</w:t>
            </w:r>
          </w:p>
        </w:tc>
        <w:tc>
          <w:tcPr>
            <w:tcW w:type="dxa" w:w="35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1 col, stacked.</w:t>
            </w:r>
          </w:p>
        </w:tc>
        <w:tc>
          <w:tcPr>
            <w:tcW w:type="dxa" w:w="39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2 col → 3 col → 4 col via auto-fit minmax(240px, 1fr).</w:t>
            </w:r>
          </w:p>
        </w:tc>
      </w:tr>
      <w:tr>
        <w:tc>
          <w:tcPr>
            <w:tcW w:type="dxa" w:w="19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About</w:t>
            </w:r>
          </w:p>
        </w:tc>
        <w:tc>
          <w:tcPr>
            <w:tcW w:type="dxa" w:w="35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Stacked. Mentor card sits below the points.</w:t>
            </w:r>
          </w:p>
        </w:tc>
        <w:tc>
          <w:tcPr>
            <w:tcW w:type="dxa" w:w="39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Two-column 1.1 / 0.9 ratio.</w:t>
            </w:r>
          </w:p>
        </w:tc>
      </w:tr>
      <w:tr>
        <w:tc>
          <w:tcPr>
            <w:tcW w:type="dxa" w:w="19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Locations</w:t>
            </w:r>
          </w:p>
        </w:tc>
        <w:tc>
          <w:tcPr>
            <w:tcW w:type="dxa" w:w="35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Stacked.</w:t>
            </w:r>
          </w:p>
        </w:tc>
        <w:tc>
          <w:tcPr>
            <w:tcW w:type="dxa" w:w="39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2 col at 760 px.</w:t>
            </w:r>
          </w:p>
        </w:tc>
      </w:tr>
      <w:tr>
        <w:tc>
          <w:tcPr>
            <w:tcW w:type="dxa" w:w="19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Gallery</w:t>
            </w:r>
          </w:p>
        </w:tc>
        <w:tc>
          <w:tcPr>
            <w:tcW w:type="dxa" w:w="35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2 col at 140 px row height.</w:t>
            </w:r>
          </w:p>
        </w:tc>
        <w:tc>
          <w:tcPr>
            <w:tcW w:type="dxa" w:w="39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4 col at 180 px row height with tall + wide tiles.</w:t>
            </w:r>
          </w:p>
        </w:tc>
      </w:tr>
      <w:tr>
        <w:tc>
          <w:tcPr>
            <w:tcW w:type="dxa" w:w="19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Enquiry form</w:t>
            </w:r>
          </w:p>
        </w:tc>
        <w:tc>
          <w:tcPr>
            <w:tcW w:type="dxa" w:w="35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Single column form, name/phone stacked.</w:t>
            </w:r>
          </w:p>
        </w:tc>
        <w:tc>
          <w:tcPr>
            <w:tcW w:type="dxa" w:w="39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Two-column section, name/phone go side-by-side at 560 px.</w:t>
            </w:r>
          </w:p>
        </w:tc>
      </w:tr>
      <w:tr>
        <w:tc>
          <w:tcPr>
            <w:tcW w:type="dxa" w:w="19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50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Sidebar collapses above content. Table scrolls horizontally inside its panel.</w:t>
            </w:r>
          </w:p>
        </w:tc>
        <w:tc>
          <w:tcPr>
            <w:tcW w:type="dxa" w:w="3960"/>
            <w:tcBorders>
              <w:top w:val="single" w:color="E8DFCD" w:sz="1"/>
              <w:left w:val="single" w:color="E8DFCD" w:sz="1"/>
              <w:bottom w:val="single" w:color="E8DFCD" w:sz="1"/>
              <w:right w:val="single" w:color="E8DFCD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1F1B16"/>
                <w:sz w:val="20"/>
                <w:szCs w:val="20"/>
              </w:rPr>
              <w:t xml:space="preserve">Sidebar fixed at 240 px, dashboard splits 2/3 + 1/3 at 1100 px.</w:t>
            </w:r>
          </w:p>
        </w:tc>
      </w:tr>
    </w:tbl>
    <w:p>
      <w:pPr>
        <w:pBdr>
          <w:bottom w:val="single" w:color="C8A96A" w:sz="6" w:space="1"/>
        </w:pBdr>
        <w:spacing w:after="200" w:before="60"/>
      </w:pPr>
      <w:r>
        <w:t xml:space="preserv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color w:val="6E1423"/>
        </w:rPr>
        <w:t xml:space="preserve">10 · Implementation notes (engineering hand-off)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Stack assumed: Next.js (App Router), Tailwind for utilities, Supabase for DB + auth, Vercel for hosting.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Map all design tokens above into tailwind.config.js extend.colors / fontFamily / borderRadius / boxShadow. Avoid hard-coded hex inside components.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Fonts: load Fraunces (display) + Inter (sans) via next/font/google. Set display: "swap".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Images (gallery, location maps in production): Next/Image with aspectRatio, ensure LCP image is the hero visual (preload).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Enquiry form: Server Action posts to a Supabase enquiries table with columns id, name, phone, course, age, message, status, branch, source, created_at. Status defaults to "new". Add a basic per-IP rate-limit (e.g. 3 / min).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Course options in the form must stay in sync with the 6 current programmes. Keep them in a single constants file shared between the form and the admin filters.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Both "Open map" buttons should use the Google Maps share links supplied by Beat Drops (noopener external links).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WhatsApp FAB links to https://wa.me/919439395040 with a pre-filled greeting — reduces friction on mobile where WhatsApp is the primary channel.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Auth: Supabase Auth with Google provider, scoped to a hard-coded list of admin emails (or an admins table) — guarded via middleware on /admin/**.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Admin actions (mark contacted, delete) use Supabase row-level security policies; only authenticated admins can update or delete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Animations: gate floating notes and equalizer behind `prefers-reduced-motion: no-preference`.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Accessibility checklist before ship: skip-to-content link, aria-labels on icon-only buttons, focus rings preserved, form errors announced via aria-live.</w:t>
      </w:r>
    </w:p>
    <w:p>
      <w:pPr>
        <w:pBdr>
          <w:bottom w:val="single" w:color="C8A96A" w:sz="6" w:space="1"/>
        </w:pBdr>
        <w:spacing w:after="200" w:before="60"/>
      </w:pPr>
      <w:r>
        <w:t xml:space="preserv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color w:val="6E1423"/>
        </w:rPr>
        <w:t xml:space="preserve">11 · Why this design works</w:t>
      </w:r>
    </w:p>
    <w:p>
      <w:pPr>
        <w:spacing w:after="12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The brand needs to feel premium without feeling cold, and Indian without feeling cliché. Maroon and gold do the cultural lifting; ivory and Fraunces do the modern lifting; and the layout chooses calm density over decoration. Every section answers the next question a real visitor is asking, in the order they ask it. The admin view is intentionally boring — fast, dense, predictable — because admins want to clear an inbox, not be impressed.</w:t>
      </w:r>
    </w:p>
    <w:p>
      <w:pPr>
        <w:spacing w:after="120"/>
      </w:pPr>
      <w:r>
        <w:rPr>
          <w:rFonts w:ascii="Inter" w:cs="Inter" w:eastAsia="Inter" w:hAnsi="Inter"/>
          <w:color w:val="1F1B16"/>
          <w:sz w:val="22"/>
          <w:szCs w:val="22"/>
        </w:rPr>
        <w:t xml:space="preserve">Companion file: beatdrops-prototype.html — the live, mobile-first reference.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6B5F50"/>
        <w:sz w:val="18"/>
        <w:szCs w:val="18"/>
      </w:rPr>
      <w:t xml:space="preserve">Page </w:t>
    </w:r>
    <w:r>
      <w:rPr>
        <w:rFonts w:ascii="Inter" w:cs="Inter" w:eastAsia="Inter" w:hAnsi="Inter"/>
        <w:color w:val="6B5F5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6B5F50"/>
        <w:sz w:val="18"/>
        <w:szCs w:val="18"/>
      </w:rPr>
      <w:t xml:space="preserve"> of </w:t>
    </w:r>
    <w:r>
      <w:rPr>
        <w:rFonts w:ascii="Inter" w:cs="Inter" w:eastAsia="Inter" w:hAnsi="Inter"/>
        <w:color w:val="6B5F5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olor w:val="6B5F50"/>
        <w:sz w:val="18"/>
        <w:szCs w:val="18"/>
      </w:rPr>
      <w:t xml:space="preserve">Beat Drops Music Academy · Design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6E142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1B1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Fraunces" w:cs="Fraunces" w:eastAsia="Fraunces" w:hAnsi="Fraunces"/>
      <w:b/>
      <w:bCs/>
      <w:color w:val="6E142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Inter" w:cs="Inter" w:eastAsia="Inter" w:hAnsi="Inter"/>
      <w:b/>
      <w:bCs/>
      <w:color w:val="4A0E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Inter" w:cs="Inter" w:eastAsia="Inter" w:hAnsi="Inter"/>
      <w:b/>
      <w:bCs/>
      <w:color w:val="1F1B1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Beat Drops Music Academy — UX/UI Design Specification</dc:title>
  <dc:creator>Beat Drops Design</dc:creator>
  <cp:lastModifiedBy>Un-named</cp:lastModifiedBy>
  <cp:revision>1</cp:revision>
  <dcterms:created xsi:type="dcterms:W3CDTF">2026-04-22T18:56:10.946Z</dcterms:created>
  <dcterms:modified xsi:type="dcterms:W3CDTF">2026-04-22T18:56:10.954Z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