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2969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Controlli da fare per evitare gli errori più frequenti</w:t>
      </w:r>
    </w:p>
    <w:p w14:paraId="00000002" w14:textId="77777777" w:rsidR="00702969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nella progettazione</w:t>
      </w:r>
    </w:p>
    <w:p w14:paraId="00000003" w14:textId="77777777" w:rsidR="00702969" w:rsidRDefault="00702969">
      <w:pPr>
        <w:jc w:val="center"/>
        <w:rPr>
          <w:b/>
          <w:sz w:val="21"/>
          <w:szCs w:val="21"/>
        </w:rPr>
      </w:pPr>
    </w:p>
    <w:p w14:paraId="00000004" w14:textId="04D165F1" w:rsidR="00702969" w:rsidRDefault="00000000">
      <w:pPr>
        <w:rPr>
          <w:b/>
          <w:sz w:val="21"/>
          <w:szCs w:val="21"/>
        </w:rPr>
      </w:pPr>
      <w:r>
        <w:rPr>
          <w:b/>
          <w:sz w:val="21"/>
          <w:szCs w:val="21"/>
        </w:rPr>
        <w:t>Contrassegnare tutti i controlli effettuati:</w:t>
      </w:r>
      <w:sdt>
        <w:sdtPr>
          <w:tag w:val="goog_rdk_0"/>
          <w:id w:val="775677559"/>
        </w:sdtPr>
        <w:sdtContent/>
      </w:sdt>
    </w:p>
    <w:p w14:paraId="00000005" w14:textId="77777777" w:rsidR="00702969" w:rsidRDefault="00702969">
      <w:pPr>
        <w:rPr>
          <w:b/>
          <w:sz w:val="21"/>
          <w:szCs w:val="21"/>
        </w:rPr>
      </w:pPr>
    </w:p>
    <w:p w14:paraId="00000006" w14:textId="77777777" w:rsidR="007029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Requisiti rivisti:</w:t>
      </w:r>
    </w:p>
    <w:p w14:paraId="00000007" w14:textId="77777777" w:rsidR="00702969" w:rsidRDefault="00000000">
      <w:pPr>
        <w:ind w:firstLine="720"/>
        <w:rPr>
          <w:sz w:val="21"/>
          <w:szCs w:val="21"/>
        </w:rPr>
      </w:pPr>
      <w:sdt>
        <w:sdtPr>
          <w:tag w:val="goog_rdk_1"/>
          <w:id w:val="-1123619739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bookmarkStart w:id="0" w:name="bookmark=id.cal4zsvnzzoe" w:colFirst="0" w:colLast="0"/>
      <w:bookmarkEnd w:id="0"/>
      <w:r>
        <w:rPr>
          <w:sz w:val="21"/>
          <w:szCs w:val="21"/>
        </w:rPr>
        <w:t>☐ I requisiti rivisti non comprendono sinonimi e omonimi.</w:t>
      </w:r>
    </w:p>
    <w:p w14:paraId="00000008" w14:textId="77777777" w:rsidR="00702969" w:rsidRDefault="00000000">
      <w:pPr>
        <w:ind w:left="1077" w:hanging="357"/>
        <w:rPr>
          <w:sz w:val="21"/>
          <w:szCs w:val="21"/>
        </w:rPr>
      </w:pPr>
      <w:sdt>
        <w:sdtPr>
          <w:tag w:val="goog_rdk_2"/>
          <w:id w:val="1344662278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I requisiti rivisti comprendono anche le informazioni date dalle schermate che sono state fornite come parte dei requisiti iniziali.</w:t>
      </w:r>
    </w:p>
    <w:p w14:paraId="00000009" w14:textId="77777777" w:rsidR="00702969" w:rsidRDefault="00702969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1"/>
          <w:szCs w:val="21"/>
        </w:rPr>
      </w:pPr>
    </w:p>
    <w:p w14:paraId="0000000A" w14:textId="77777777" w:rsidR="007029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Schema ER iniziale:</w:t>
      </w:r>
    </w:p>
    <w:p w14:paraId="0000000B" w14:textId="77777777" w:rsidR="00702969" w:rsidRDefault="00000000">
      <w:pPr>
        <w:ind w:left="1077" w:hanging="368"/>
        <w:rPr>
          <w:sz w:val="21"/>
          <w:szCs w:val="21"/>
        </w:rPr>
      </w:pPr>
      <w:sdt>
        <w:sdtPr>
          <w:tag w:val="goog_rdk_3"/>
          <w:id w:val="-1546754014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Le entità hanno solo attributi nominati nei requisiti rivisti.</w:t>
      </w:r>
    </w:p>
    <w:p w14:paraId="0000000C" w14:textId="77777777" w:rsidR="00702969" w:rsidRDefault="00000000">
      <w:pPr>
        <w:ind w:left="1077" w:hanging="368"/>
        <w:rPr>
          <w:sz w:val="21"/>
          <w:szCs w:val="21"/>
        </w:rPr>
      </w:pPr>
      <w:sdt>
        <w:sdtPr>
          <w:tag w:val="goog_rdk_4"/>
          <w:id w:val="848377511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Ogni entità ha un identificatore.</w:t>
      </w:r>
    </w:p>
    <w:p w14:paraId="0000000D" w14:textId="77777777" w:rsidR="00702969" w:rsidRDefault="00000000">
      <w:pPr>
        <w:ind w:left="1077" w:hanging="368"/>
        <w:rPr>
          <w:sz w:val="21"/>
          <w:szCs w:val="21"/>
        </w:rPr>
      </w:pPr>
      <w:sdt>
        <w:sdtPr>
          <w:tag w:val="goog_rdk_5"/>
          <w:id w:val="-474523713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 xml:space="preserve">☐ Gli identificatori delle entità </w:t>
      </w:r>
      <w:r>
        <w:rPr>
          <w:b/>
          <w:sz w:val="21"/>
          <w:szCs w:val="21"/>
        </w:rPr>
        <w:t>non</w:t>
      </w:r>
      <w:r>
        <w:rPr>
          <w:sz w:val="21"/>
          <w:szCs w:val="21"/>
        </w:rPr>
        <w:t xml:space="preserve"> sono ID o codici (a meno dei rari casi in cui ID e codici sono stati nominati nei requisiti).</w:t>
      </w:r>
    </w:p>
    <w:p w14:paraId="0000000E" w14:textId="77777777" w:rsidR="00702969" w:rsidRDefault="00000000">
      <w:pPr>
        <w:ind w:left="1077" w:hanging="368"/>
        <w:rPr>
          <w:sz w:val="21"/>
          <w:szCs w:val="21"/>
        </w:rPr>
      </w:pPr>
      <w:sdt>
        <w:sdtPr>
          <w:tag w:val="goog_rdk_6"/>
          <w:id w:val="-1989629824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 xml:space="preserve">☐ Le associazioni </w:t>
      </w:r>
      <w:r>
        <w:rPr>
          <w:b/>
          <w:sz w:val="21"/>
          <w:szCs w:val="21"/>
        </w:rPr>
        <w:t xml:space="preserve">non </w:t>
      </w:r>
      <w:r>
        <w:rPr>
          <w:sz w:val="21"/>
          <w:szCs w:val="21"/>
        </w:rPr>
        <w:t>hanno identificatori.</w:t>
      </w:r>
    </w:p>
    <w:p w14:paraId="0000000F" w14:textId="77777777" w:rsidR="00702969" w:rsidRDefault="00000000">
      <w:pPr>
        <w:ind w:left="1077" w:hanging="368"/>
        <w:rPr>
          <w:sz w:val="21"/>
          <w:szCs w:val="21"/>
        </w:rPr>
      </w:pPr>
      <w:sdt>
        <w:sdtPr>
          <w:tag w:val="goog_rdk_7"/>
          <w:id w:val="-1804300625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 xml:space="preserve">☐ Le entità </w:t>
      </w:r>
      <w:r>
        <w:rPr>
          <w:b/>
          <w:sz w:val="21"/>
          <w:szCs w:val="21"/>
        </w:rPr>
        <w:t>non</w:t>
      </w:r>
      <w:r>
        <w:rPr>
          <w:sz w:val="21"/>
          <w:szCs w:val="21"/>
        </w:rPr>
        <w:t xml:space="preserve"> hanno attributi che corrispondono a “chiavi esterne”. I “collegamenti” tra entità devono essere rappresentati tramite associazioni.</w:t>
      </w:r>
    </w:p>
    <w:p w14:paraId="00000010" w14:textId="77777777" w:rsidR="00702969" w:rsidRDefault="00000000">
      <w:pPr>
        <w:ind w:left="1077" w:hanging="368"/>
        <w:rPr>
          <w:sz w:val="21"/>
          <w:szCs w:val="21"/>
        </w:rPr>
      </w:pPr>
      <w:sdt>
        <w:sdtPr>
          <w:tag w:val="goog_rdk_8"/>
          <w:id w:val="643623279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Per ogni generalizzazione è stato indicato il tipo.</w:t>
      </w:r>
    </w:p>
    <w:p w14:paraId="00000011" w14:textId="77777777" w:rsidR="00702969" w:rsidRDefault="00000000">
      <w:pPr>
        <w:ind w:left="1077" w:hanging="368"/>
        <w:rPr>
          <w:sz w:val="21"/>
          <w:szCs w:val="21"/>
        </w:rPr>
      </w:pPr>
      <w:sdt>
        <w:sdtPr>
          <w:tag w:val="goog_rdk_9"/>
          <w:id w:val="-1182192194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Le associazioni ternarie indicano che potenzialmente è possibile avere ogni combinazione di occorrenze delle tre entità collegate. Se ciò non è quello che si desidera usare associazioni binarie.</w:t>
      </w:r>
    </w:p>
    <w:p w14:paraId="00000012" w14:textId="77777777" w:rsidR="00702969" w:rsidRDefault="00000000">
      <w:pPr>
        <w:ind w:left="1077" w:hanging="368"/>
        <w:rPr>
          <w:sz w:val="21"/>
          <w:szCs w:val="21"/>
        </w:rPr>
      </w:pPr>
      <w:sdt>
        <w:sdtPr>
          <w:tag w:val="goog_rdk_10"/>
          <w:id w:val="433483325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Lo schema ER iniziale contiene ridondanze che saranno poi analizzate nella fase di progettazione logica.</w:t>
      </w:r>
    </w:p>
    <w:p w14:paraId="00000013" w14:textId="77777777" w:rsidR="00702969" w:rsidRDefault="00702969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1"/>
          <w:szCs w:val="21"/>
        </w:rPr>
      </w:pPr>
    </w:p>
    <w:p w14:paraId="00000014" w14:textId="77777777" w:rsidR="007029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Regole aziendali:</w:t>
      </w:r>
    </w:p>
    <w:p w14:paraId="00000015" w14:textId="77777777" w:rsidR="00702969" w:rsidRDefault="00000000">
      <w:pPr>
        <w:ind w:left="1080" w:hanging="370"/>
        <w:rPr>
          <w:sz w:val="21"/>
          <w:szCs w:val="21"/>
        </w:rPr>
      </w:pPr>
      <w:sdt>
        <w:sdtPr>
          <w:tag w:val="goog_rdk_11"/>
          <w:id w:val="1687934411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Le regole aziendali sono effettivamente controllabili utilizzando i dati rappresentati nell’ER.</w:t>
      </w:r>
    </w:p>
    <w:p w14:paraId="00000016" w14:textId="77777777" w:rsidR="00702969" w:rsidRDefault="00000000">
      <w:pPr>
        <w:ind w:left="1080" w:hanging="370"/>
        <w:rPr>
          <w:sz w:val="21"/>
          <w:szCs w:val="21"/>
        </w:rPr>
      </w:pPr>
      <w:sdt>
        <w:sdtPr>
          <w:tag w:val="goog_rdk_12"/>
          <w:id w:val="1148247248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Le regole aziendali sono sufficientemente precise da essere implementabili da un programmatore.</w:t>
      </w:r>
    </w:p>
    <w:p w14:paraId="00000017" w14:textId="77777777" w:rsidR="00702969" w:rsidRDefault="00702969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1"/>
          <w:szCs w:val="21"/>
        </w:rPr>
      </w:pPr>
    </w:p>
    <w:p w14:paraId="00000018" w14:textId="77777777" w:rsidR="007029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Schema ER </w:t>
      </w:r>
      <w:proofErr w:type="spellStart"/>
      <w:r>
        <w:rPr>
          <w:b/>
          <w:color w:val="000000"/>
          <w:sz w:val="21"/>
          <w:szCs w:val="21"/>
        </w:rPr>
        <w:t>iniziale+regole</w:t>
      </w:r>
      <w:proofErr w:type="spellEnd"/>
      <w:r>
        <w:rPr>
          <w:b/>
          <w:color w:val="000000"/>
          <w:sz w:val="21"/>
          <w:szCs w:val="21"/>
        </w:rPr>
        <w:t xml:space="preserve"> aziendali:</w:t>
      </w:r>
    </w:p>
    <w:p w14:paraId="00000019" w14:textId="77777777" w:rsidR="00702969" w:rsidRDefault="00000000">
      <w:pPr>
        <w:ind w:left="1080" w:hanging="370"/>
        <w:rPr>
          <w:sz w:val="21"/>
          <w:szCs w:val="21"/>
        </w:rPr>
      </w:pPr>
      <w:sdt>
        <w:sdtPr>
          <w:tag w:val="goog_rdk_13"/>
          <w:id w:val="1880667456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Per ogni ridondanza esiste o una regola aziendale che indica come mantenere la coerenza o una regola aziendale di derivazione che indica come derivare la ridondanza. </w:t>
      </w:r>
    </w:p>
    <w:p w14:paraId="0000001A" w14:textId="77777777" w:rsidR="00702969" w:rsidRDefault="00000000">
      <w:pPr>
        <w:ind w:left="1080" w:hanging="370"/>
        <w:rPr>
          <w:sz w:val="21"/>
          <w:szCs w:val="21"/>
        </w:rPr>
      </w:pPr>
      <w:sdt>
        <w:sdtPr>
          <w:tag w:val="goog_rdk_14"/>
          <w:id w:val="-1195385002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Lo schema ER iniziale + regole aziendali sono equivalenti ai requisiti rivisti.</w:t>
      </w:r>
    </w:p>
    <w:p w14:paraId="0000001B" w14:textId="77777777" w:rsidR="00702969" w:rsidRDefault="00702969">
      <w:pPr>
        <w:pBdr>
          <w:top w:val="nil"/>
          <w:left w:val="nil"/>
          <w:bottom w:val="nil"/>
          <w:right w:val="nil"/>
          <w:between w:val="nil"/>
        </w:pBdr>
        <w:ind w:left="2160"/>
        <w:rPr>
          <w:color w:val="000000"/>
          <w:sz w:val="21"/>
          <w:szCs w:val="21"/>
        </w:rPr>
      </w:pPr>
    </w:p>
    <w:p w14:paraId="0000001C" w14:textId="77777777" w:rsidR="007029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Schema ER </w:t>
      </w:r>
      <w:proofErr w:type="spellStart"/>
      <w:r>
        <w:rPr>
          <w:b/>
          <w:color w:val="000000"/>
          <w:sz w:val="21"/>
          <w:szCs w:val="21"/>
        </w:rPr>
        <w:t>ristrutturato+regole</w:t>
      </w:r>
      <w:proofErr w:type="spellEnd"/>
      <w:r>
        <w:rPr>
          <w:b/>
          <w:color w:val="000000"/>
          <w:sz w:val="21"/>
          <w:szCs w:val="21"/>
        </w:rPr>
        <w:t xml:space="preserve"> aziendali:</w:t>
      </w:r>
    </w:p>
    <w:p w14:paraId="0000001D" w14:textId="77777777" w:rsidR="00702969" w:rsidRDefault="00000000">
      <w:pPr>
        <w:ind w:left="1080" w:hanging="370"/>
        <w:rPr>
          <w:sz w:val="21"/>
          <w:szCs w:val="21"/>
        </w:rPr>
      </w:pPr>
      <w:sdt>
        <w:sdtPr>
          <w:tag w:val="goog_rdk_15"/>
          <w:id w:val="1122879953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Ogni generalizzazione è stata eliminata motivando la scelta e rispettandone la semantica (parziale/totale e sovrapposta/esclusiva).</w:t>
      </w:r>
    </w:p>
    <w:p w14:paraId="0000001E" w14:textId="77777777" w:rsidR="00702969" w:rsidRDefault="00000000">
      <w:pPr>
        <w:ind w:left="1080" w:hanging="370"/>
        <w:rPr>
          <w:sz w:val="21"/>
          <w:szCs w:val="21"/>
        </w:rPr>
      </w:pPr>
      <w:sdt>
        <w:sdtPr>
          <w:tag w:val="goog_rdk_16"/>
          <w:id w:val="-1061862012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Le associazioni/attributi sui figli/genitori eliminati in una generalizzazione sono stati sostituiti rispettando la semantica della generalizzazione (eventualmente introducendo nuove regole aziendali).</w:t>
      </w:r>
    </w:p>
    <w:p w14:paraId="0000001F" w14:textId="77777777" w:rsidR="00702969" w:rsidRDefault="00000000">
      <w:pPr>
        <w:ind w:left="1080" w:hanging="370"/>
        <w:rPr>
          <w:sz w:val="21"/>
          <w:szCs w:val="21"/>
        </w:rPr>
      </w:pPr>
      <w:sdt>
        <w:sdtPr>
          <w:tag w:val="goog_rdk_17"/>
          <w:id w:val="518664859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 xml:space="preserve">☐ Le associazioni </w:t>
      </w:r>
      <w:r>
        <w:rPr>
          <w:b/>
          <w:sz w:val="21"/>
          <w:szCs w:val="21"/>
        </w:rPr>
        <w:t xml:space="preserve">non </w:t>
      </w:r>
      <w:r>
        <w:rPr>
          <w:sz w:val="21"/>
          <w:szCs w:val="21"/>
        </w:rPr>
        <w:t>hanno identificatori.</w:t>
      </w:r>
    </w:p>
    <w:p w14:paraId="00000020" w14:textId="77777777" w:rsidR="00702969" w:rsidRDefault="00000000">
      <w:pPr>
        <w:ind w:left="1080" w:hanging="370"/>
        <w:rPr>
          <w:sz w:val="21"/>
          <w:szCs w:val="21"/>
        </w:rPr>
      </w:pPr>
      <w:sdt>
        <w:sdtPr>
          <w:tag w:val="goog_rdk_18"/>
          <w:id w:val="-940289281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 xml:space="preserve">☐ Le entità </w:t>
      </w:r>
      <w:r>
        <w:rPr>
          <w:b/>
          <w:sz w:val="21"/>
          <w:szCs w:val="21"/>
        </w:rPr>
        <w:t>non</w:t>
      </w:r>
      <w:r>
        <w:rPr>
          <w:sz w:val="21"/>
          <w:szCs w:val="21"/>
        </w:rPr>
        <w:t xml:space="preserve"> hanno attributi che corrispondono a “chiavi esterne” e che possono essere rappresentati tramite associazioni.</w:t>
      </w:r>
    </w:p>
    <w:p w14:paraId="00000021" w14:textId="77777777" w:rsidR="00702969" w:rsidRDefault="00000000">
      <w:pPr>
        <w:ind w:left="1080" w:hanging="370"/>
        <w:rPr>
          <w:sz w:val="21"/>
          <w:szCs w:val="21"/>
        </w:rPr>
      </w:pPr>
      <w:sdt>
        <w:sdtPr>
          <w:tag w:val="goog_rdk_19"/>
          <w:id w:val="1665198491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Lo schema ER ristrutturato + regole aziendali sono equivalenti allo schema ER iniziale + regole aziendali: nello schema ER ristrutturato non si possono introdurre nuovi attributi/entità/associazioni se non quelli che derivano dalla ristrutturazione.</w:t>
      </w:r>
    </w:p>
    <w:p w14:paraId="00000022" w14:textId="77777777" w:rsidR="00702969" w:rsidRDefault="00702969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1"/>
          <w:szCs w:val="21"/>
        </w:rPr>
      </w:pPr>
    </w:p>
    <w:p w14:paraId="00000023" w14:textId="77777777" w:rsidR="007029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Schema relazionale:</w:t>
      </w:r>
    </w:p>
    <w:p w14:paraId="00000024" w14:textId="77777777" w:rsidR="00702969" w:rsidRDefault="00000000">
      <w:pPr>
        <w:ind w:left="1063" w:hanging="353"/>
        <w:rPr>
          <w:sz w:val="21"/>
          <w:szCs w:val="21"/>
        </w:rPr>
      </w:pPr>
      <w:sdt>
        <w:sdtPr>
          <w:tag w:val="goog_rdk_20"/>
          <w:id w:val="1377897483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Lo schema relazionale è equivalente allo schema ER ristrutturato: non si possono introdurre nuovi attributi/tabelle/vincoli se non quelli derivanti dalla traduzione dello schema ER ristrutturato.</w:t>
      </w:r>
    </w:p>
    <w:p w14:paraId="00000025" w14:textId="77777777" w:rsidR="00702969" w:rsidRDefault="00000000">
      <w:pPr>
        <w:ind w:left="1063" w:hanging="353"/>
        <w:rPr>
          <w:sz w:val="21"/>
          <w:szCs w:val="21"/>
        </w:rPr>
      </w:pPr>
      <w:sdt>
        <w:sdtPr>
          <w:tag w:val="goog_rdk_21"/>
          <w:id w:val="1223096924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Per ogni tabella è indicata la chiave primaria</w:t>
      </w:r>
    </w:p>
    <w:p w14:paraId="00000026" w14:textId="77777777" w:rsidR="00702969" w:rsidRDefault="00000000">
      <w:pPr>
        <w:ind w:left="1063" w:hanging="353"/>
        <w:rPr>
          <w:sz w:val="21"/>
          <w:szCs w:val="21"/>
        </w:rPr>
      </w:pPr>
      <w:sdt>
        <w:sdtPr>
          <w:tag w:val="goog_rdk_22"/>
          <w:id w:val="68783994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Per ogni tabella sono stati indicati i vincoli di integrità referenziale.</w:t>
      </w:r>
    </w:p>
    <w:p w14:paraId="00000027" w14:textId="77777777" w:rsidR="00702969" w:rsidRDefault="00000000">
      <w:pPr>
        <w:ind w:left="1063" w:hanging="353"/>
        <w:rPr>
          <w:sz w:val="21"/>
          <w:szCs w:val="21"/>
        </w:rPr>
      </w:pPr>
      <w:sdt>
        <w:sdtPr>
          <w:tag w:val="goog_rdk_23"/>
          <w:id w:val="-1882700456"/>
        </w:sdtPr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✓</w:t>
          </w:r>
        </w:sdtContent>
      </w:sdt>
      <w:r>
        <w:rPr>
          <w:sz w:val="21"/>
          <w:szCs w:val="21"/>
        </w:rPr>
        <w:t>☐ Ogni associazione dello schema ER ristrutturato è stata tradotta nello schema relazionale rispettandone il tipo (uno a uno, uno a molti, molti a molti, …).</w:t>
      </w:r>
    </w:p>
    <w:sectPr w:rsidR="00702969">
      <w:footerReference w:type="even" r:id="rId8"/>
      <w:footerReference w:type="default" r:id="rId9"/>
      <w:pgSz w:w="11900" w:h="16840"/>
      <w:pgMar w:top="1417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363FA" w14:textId="77777777" w:rsidR="002E2657" w:rsidRDefault="002E2657">
      <w:r>
        <w:separator/>
      </w:r>
    </w:p>
  </w:endnote>
  <w:endnote w:type="continuationSeparator" w:id="0">
    <w:p w14:paraId="07989B10" w14:textId="77777777" w:rsidR="002E2657" w:rsidRDefault="002E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6DFD7F4-AB0B-4604-8B64-2B755B906C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4D2D7B-1B0D-4D39-B5C0-DEBE1767FFD8}"/>
    <w:embedBold r:id="rId3" w:fontKey="{C8AE31C6-FC2B-4C3B-9B01-EDAE2FB513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295C551-B056-434A-B9D3-FC88B55828D4}"/>
    <w:embedItalic r:id="rId5" w:fontKey="{527798DF-DF39-4F50-90B3-F09EA454AEF3}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522E638-7CB4-4E69-9326-D70A2C2ED2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8" w14:textId="77777777" w:rsidR="007029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29" w14:textId="77777777" w:rsidR="00702969" w:rsidRDefault="00702969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3A63C2A6" w:rsidR="007029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01751">
      <w:rPr>
        <w:noProof/>
        <w:color w:val="000000"/>
      </w:rPr>
      <w:t>1</w:t>
    </w:r>
    <w:r>
      <w:rPr>
        <w:color w:val="000000"/>
      </w:rPr>
      <w:fldChar w:fldCharType="end"/>
    </w:r>
  </w:p>
  <w:p w14:paraId="0000002B" w14:textId="77777777" w:rsidR="00702969" w:rsidRDefault="00702969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62F73" w14:textId="77777777" w:rsidR="002E2657" w:rsidRDefault="002E2657">
      <w:r>
        <w:separator/>
      </w:r>
    </w:p>
  </w:footnote>
  <w:footnote w:type="continuationSeparator" w:id="0">
    <w:p w14:paraId="64CC519E" w14:textId="77777777" w:rsidR="002E2657" w:rsidRDefault="002E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D0919"/>
    <w:multiLevelType w:val="multilevel"/>
    <w:tmpl w:val="828A896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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3305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969"/>
    <w:rsid w:val="002E2657"/>
    <w:rsid w:val="00501751"/>
    <w:rsid w:val="00702969"/>
    <w:rsid w:val="0081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1B78"/>
  <w15:docId w15:val="{E10E9723-E8E8-4AAB-AD98-18C2B703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agrafoelenco">
    <w:name w:val="List Paragraph"/>
    <w:basedOn w:val="Normale"/>
    <w:uiPriority w:val="34"/>
    <w:qFormat/>
    <w:rsid w:val="003416AD"/>
    <w:pPr>
      <w:ind w:left="720"/>
      <w:contextualSpacing/>
    </w:p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E9338E"/>
    <w:rPr>
      <w:rFonts w:ascii="Times New Roman" w:hAnsi="Times New Roman" w:cs="Times New Roman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E9338E"/>
    <w:rPr>
      <w:rFonts w:ascii="Times New Roman" w:hAnsi="Times New Roman" w:cs="Times New Roman"/>
    </w:rPr>
  </w:style>
  <w:style w:type="paragraph" w:styleId="Pidipagina">
    <w:name w:val="footer"/>
    <w:basedOn w:val="Normale"/>
    <w:link w:val="PidipaginaCarattere"/>
    <w:uiPriority w:val="99"/>
    <w:unhideWhenUsed/>
    <w:rsid w:val="00621E6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21E6B"/>
  </w:style>
  <w:style w:type="character" w:styleId="Numeropagina">
    <w:name w:val="page number"/>
    <w:basedOn w:val="Carpredefinitoparagrafo"/>
    <w:uiPriority w:val="99"/>
    <w:semiHidden/>
    <w:unhideWhenUsed/>
    <w:rsid w:val="00621E6B"/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4GiXLPjE35L4ZRfmagyxgOIlz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zIPaWQuY2FsNHpzdm56em9lOAByITFCZnV6d1prZnB5dUV0Y251anRtLVZrd3NuNExKeEpU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 Anselma</dc:creator>
  <cp:lastModifiedBy>KAMAL GOUAICHE</cp:lastModifiedBy>
  <cp:revision>3</cp:revision>
  <dcterms:created xsi:type="dcterms:W3CDTF">2017-07-14T15:12:00Z</dcterms:created>
  <dcterms:modified xsi:type="dcterms:W3CDTF">2025-05-19T14:51:00Z</dcterms:modified>
</cp:coreProperties>
</file>