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Analysis of US-East-2 &amp; US-West-2 Active-Active Geo-Sharding Architecture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and Architectural Viability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architectural paradigm depicted in the provided diagram—a bi-directional, active-active geo-sharded solution spanning AWS US-East-2 (Ohio) and US-West-2 (Oregon)—represents a sophisticated response to the rigid constraints of the CAP theorem. By prioritizing Partition Tolerance (P) and High Availability (A), this system accepts managed trade-offs in Consistency (C) to achieve a globally resilient state. The design leverages a "Shared-Nothing" architecture at the database level, orchestrated by a robust proxy fleet for intelligent routing and Oracle GoldenGate (OGG) Microservices Architecture (MA) for asynchronous, logical replication.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evaluates the viability of this design for mission-critical enterprise workloads. The core viability rests on the successful integration of three distinct planes: the control plane (routing logic), the data plane (persistence and replication), and the infrastructure plane (network transport). While standard active-passive configurations, such as Amazon Aurora Global Database, offer simplified disaster recovery with sub-second latency, they fundamentally lack the multi-region write capabilities required for true active-active scaling. Consequently, for use cases demanding global write ingest and near-zero Recovery Time Objectives (RTO), the depicted architecture is not only viable but often necessary. However, it introduces significant complexity regarding conflict detection and resolution (CDR), operational management of replication hubs, and strict application-level sharding discipline.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geographical separation between Ohio and Oregon introduces an immutable physical latency floor of approximately 60–70 milliseconds round-trip time (RTT). This latency governs the "Replication Lag" and defines the window of vulnerability for data conflicts. The viability of the solution is therefore less about the software capabilities and more about the application's ability to tolerate "strong eventual consistency." For financial and inventory systems, where data integrity is paramount, this architecture requires the implementation of deterministic routing (sticky sharding) and rigorous conflict resolution algorithms (e.g., Delta propagation) to prevent logical corruption.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Network Transport Layer: The Backbone of Replication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AWS Transit Gateway and Inter-Region Peering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connectivity backbone connecting the US-East-2 and US-West-2 regions is critical for the stability of the GoldenGate replication stream. The architecture employs AWS Transit Gateway (TGW) with inter-region peering, a managed service that routes traffic over the AWS Global Backbone rather than the public internet. This choice is superior to traditional VPC peering for complex topologies because TGW acts as a regional hub, simplifying route table management and allowing for centralized traffic inspection if required.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performance characteristics of this link directly impact the Recovery Point Objective (RPO). GoldenGate is an asynchronous replication mechanism; it reads transactions from the source redo logs and ships them to the target. The network throughput determines how quickly these trail files can be moved. AWS Transit Gateway supports Equal Cost Multipath (ECMP) routing, allowing the architecture to scale bandwidth beyond single-flow limits (typically 5 Gbps per flow) by utilizing multiple attachments, though typically a single peering attachment suffices for standard database redo generation rates.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Latency Physics and Jitter: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Empirical data indicates that the latency between us-east-2 and us-west-2 stabilizes around 65-70ms. While bandwidth can be scaled, this latency is fixed by the speed of light and fiber routing distance. In an active-active configuration, this latency manifests as the "conflict window." If a record is updated in Ohio at time $T$, and the same record is updated in Oregon at $T + 30ms$, the Oregon database will not yet have received the lock or the data from Ohio. This necessitates the "Split-Brain" mitigation strategies discussed in Section 5. Furthermore, network jitter—variance in latency—can cause GoldenGate to stall if TCP window sizes are not optimized. The stability of the AWS Global Backbone generally mitigates extreme jitter compared to VPNs over the public internet, making TGW the only viable choice for high-throughput database replication.</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Direct Connect and Hybrid Considerations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the diagram focuses on cloud-to-cloud replication, the use of TGW allows for seamless integration with on-premises data centers via AWS Direct Connect. For hybrid scenarios (e.g., Mainframe offloading to Cloud), the TGW can route traffic from an on-premise location to the nearest active region. In a failure scenario, BGP dynamic routing can automatically failover on-premise traffic from the East Direct Connect link to the West link, maintaining the active-active availability promise.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Intelligent Routing Layer: Application Design Best Practices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entry point for all user traffic is the "Intelligent Routing" layer, comprising Application Load Balancers (ALB) and a fleet of proxies (Nginx or Envoy). This layer is responsible for implementing the "Sharding" logic, ensuring that users are routed to the correct database shard to minimize cross-region conflicts.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Header-Based Routing Mechanics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architecture utilizes a specific header, X-Shard-ID, to determine the routing destination. This is a robust pattern for "User-Defined Sharding" or "Directory-Based Sharding".</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Ingress:</w:t>
      </w:r>
      <w:r w:rsidDel="00000000" w:rsidR="00000000" w:rsidRPr="00000000">
        <w:rPr>
          <w:rFonts w:ascii="Google Sans Text" w:cs="Google Sans Text" w:eastAsia="Google Sans Text" w:hAnsi="Google Sans Text"/>
          <w:color w:val="1f1f1f"/>
          <w:rtl w:val="0"/>
        </w:rPr>
        <w:t xml:space="preserve"> The ALB receives the request and terminates SSL.</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Inspection:</w:t>
      </w:r>
      <w:r w:rsidDel="00000000" w:rsidR="00000000" w:rsidRPr="00000000">
        <w:rPr>
          <w:rFonts w:ascii="Google Sans Text" w:cs="Google Sans Text" w:eastAsia="Google Sans Text" w:hAnsi="Google Sans Text"/>
          <w:color w:val="1f1f1f"/>
          <w:rtl w:val="0"/>
        </w:rPr>
        <w:t xml:space="preserve"> The ALB or the subsequent Proxy Fleet inspects the X-Shard-ID header.</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Decision:</w:t>
      </w:r>
    </w:p>
    <w:p w:rsidR="00000000" w:rsidDel="00000000" w:rsidP="00000000" w:rsidRDefault="00000000" w:rsidRPr="00000000" w14:paraId="00000015">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IF X-Shard-ID = us-east THEN Route to Local-App-Fleet (East)</w:t>
      </w:r>
    </w:p>
    <w:p w:rsidR="00000000" w:rsidDel="00000000" w:rsidP="00000000" w:rsidRDefault="00000000" w:rsidRPr="00000000" w14:paraId="00000016">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IF X-Shard-ID = us-west THEN Route to Proxy-Fleet (to West)</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Forwarding:</w:t>
      </w:r>
      <w:r w:rsidDel="00000000" w:rsidR="00000000" w:rsidRPr="00000000">
        <w:rPr>
          <w:rFonts w:ascii="Google Sans Text" w:cs="Google Sans Text" w:eastAsia="Google Sans Text" w:hAnsi="Google Sans Text"/>
          <w:color w:val="1f1f1f"/>
          <w:rtl w:val="0"/>
        </w:rPr>
        <w:t xml:space="preserve"> The request is sent to the appropriate compute cluster (ECS/EKS).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mechanism enforces "Session Stickiness" at a granular level. Unlike DNS-based routing (Route 53 Geolocation), which operates at the IP level and is subject to client-side caching and slow TTL propagation, header-based routing is instantaneous and deterministic. If a user travels from New York to California, their X-Shard-ID (derived from their account metadata) remains constant, ensuring they continue to access their home shard (East), preventing them from inadvertently writing to the West shard and creating a conflict.</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Proxy Technology Selection: Envoy vs. Nginx vs. ALB</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diagram suggests a "Proxy-Fleet" capable of cross-region routing. The choice of technology here is pivotal for operational agility.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1: Comparative Analysis of Proxy Technologies for Geo-Sharding</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Nginx (Open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Envoy Proxy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AWS ALB (Native)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Architectural Recommendation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Dynamic 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Requires reload for config changes.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xDS API allows hot-reloading without dropped connections.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Managed via API/Console. Slow propagation.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Envoy</w:t>
            </w:r>
            <w:r w:rsidDel="00000000" w:rsidR="00000000" w:rsidRPr="00000000">
              <w:rPr>
                <w:rFonts w:ascii="Google Sans Text" w:cs="Google Sans Text" w:eastAsia="Google Sans Text" w:hAnsi="Google Sans Text"/>
                <w:color w:val="1f1f1f"/>
                <w:shd w:fill="auto" w:val="clear"/>
                <w:rtl w:val="0"/>
              </w:rPr>
              <w:t xml:space="preserve"> is superior for dynamic environments where shard mappings might change frequently (re-sharding).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Observability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Basic metrics (stub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Deep L7 telemetry, distributed tracing, per-shard latency.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CloudWatch metrics (aggregated).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Envoy</w:t>
            </w:r>
            <w:r w:rsidDel="00000000" w:rsidR="00000000" w:rsidRPr="00000000">
              <w:rPr>
                <w:rFonts w:ascii="Google Sans Text" w:cs="Google Sans Text" w:eastAsia="Google Sans Text" w:hAnsi="Google Sans Text"/>
                <w:color w:val="1f1f1f"/>
                <w:shd w:fill="auto" w:val="clear"/>
                <w:rtl w:val="0"/>
              </w:rPr>
              <w:t xml:space="preserve"> provides the granular visibility needed to debug cross-region latency issues.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Routing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Advanced regex and lookup tables.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Sophisticated matching, header manipulation, and gRPC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Basic header-based routing and limited regex.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ALB</w:t>
            </w:r>
            <w:r w:rsidDel="00000000" w:rsidR="00000000" w:rsidRPr="00000000">
              <w:rPr>
                <w:rFonts w:ascii="Google Sans Text" w:cs="Google Sans Text" w:eastAsia="Google Sans Text" w:hAnsi="Google Sans Text"/>
                <w:color w:val="1f1f1f"/>
                <w:shd w:fill="auto" w:val="clear"/>
                <w:rtl w:val="0"/>
              </w:rPr>
              <w:t xml:space="preserve"> is sufficient for simple static sharding, but </w:t>
            </w:r>
            <w:r w:rsidDel="00000000" w:rsidR="00000000" w:rsidRPr="00000000">
              <w:rPr>
                <w:rFonts w:ascii="Google Sans Text" w:cs="Google Sans Text" w:eastAsia="Google Sans Text" w:hAnsi="Google Sans Text"/>
                <w:b w:val="1"/>
                <w:bCs w:val="1"/>
                <w:color w:val="1f1f1f"/>
                <w:shd w:fill="auto" w:val="clear"/>
                <w:rtl w:val="0"/>
              </w:rPr>
              <w:t xml:space="preserve">Envoy</w:t>
            </w:r>
            <w:r w:rsidDel="00000000" w:rsidR="00000000" w:rsidRPr="00000000">
              <w:rPr>
                <w:rFonts w:ascii="Google Sans Text" w:cs="Google Sans Text" w:eastAsia="Google Sans Text" w:hAnsi="Google Sans Text"/>
                <w:color w:val="1f1f1f"/>
                <w:shd w:fill="auto" w:val="clear"/>
                <w:rtl w:val="0"/>
              </w:rPr>
              <w:t xml:space="preserve"> is required for complex service meshes or gRPC workloads.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Protocol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HTTP/1.1, HTTP/2, gRPC.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HTTP/2, gRPC, MongoDB parsing.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HTTP/1.1, HTTP/2, gRPC.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Envoy</w:t>
            </w:r>
            <w:r w:rsidDel="00000000" w:rsidR="00000000" w:rsidRPr="00000000">
              <w:rPr>
                <w:rFonts w:ascii="Google Sans Text" w:cs="Google Sans Text" w:eastAsia="Google Sans Text" w:hAnsi="Google Sans Text"/>
                <w:color w:val="1f1f1f"/>
                <w:shd w:fill="auto" w:val="clear"/>
                <w:rtl w:val="0"/>
              </w:rPr>
              <w:t xml:space="preserve"> offers broader support for modern application protocols.</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Best Practice:</w:t>
      </w:r>
      <w:r w:rsidDel="00000000" w:rsidR="00000000" w:rsidRPr="00000000">
        <w:rPr>
          <w:rFonts w:ascii="Google Sans Text" w:cs="Google Sans Text" w:eastAsia="Google Sans Text" w:hAnsi="Google Sans Text"/>
          <w:color w:val="1f1f1f"/>
          <w:rtl w:val="0"/>
        </w:rPr>
        <w:t xml:space="preserve"> Use the AWS ALB for SSL termination and DDoS protection (AWS WAF integration), but forward traffic to a fleet of Envoy proxies running as sidecars or a daemonset on EKS. Envoy's ability to handle "circuit breaking" and "outlier detection" is critical. If the link to US-West-2 degrades, Envoy can fail fast, returning a specific error code to the client rather than hanging indefinitely, preserving the stability of the East region.</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Connection Pooling: PgBouncer Integration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PostgreSQL databases depicted in the diagram, a raw connection from the application to the database is inefficient, especially across regions. The architecture must include a connection pooler like </w:t>
      </w:r>
      <w:r w:rsidDel="00000000" w:rsidR="00000000" w:rsidRPr="00000000">
        <w:rPr>
          <w:rFonts w:ascii="Google Sans Text" w:cs="Google Sans Text" w:eastAsia="Google Sans Text" w:hAnsi="Google Sans Text"/>
          <w:b w:val="1"/>
          <w:bCs w:val="1"/>
          <w:color w:val="1f1f1f"/>
          <w:rtl w:val="0"/>
        </w:rPr>
        <w:t xml:space="preserve">PgBouncer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PgBouncer maintains a pool of persistent connections to the database. Application threads checkout these connections only when executing a query.</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Geo-Sharding Context:</w:t>
      </w:r>
      <w:r w:rsidDel="00000000" w:rsidR="00000000" w:rsidRPr="00000000">
        <w:rPr>
          <w:rFonts w:ascii="Google Sans Text" w:cs="Google Sans Text" w:eastAsia="Google Sans Text" w:hAnsi="Google Sans Text"/>
          <w:color w:val="1f1f1f"/>
          <w:rtl w:val="0"/>
        </w:rPr>
        <w:t xml:space="preserve"> When the Proxy Fleet in East routes a request to the West database (cross-region write), the latency cost of establishing a new TCP/SSL handshake over the WAN is prohibitive. PgBouncer, deployed in the local region (or on the GoldenGate Hub), keeps warm connections open to the remote region, significantly reducing the "Time to First Byte" for cross-region queries.</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Recommendation:</w:t>
      </w:r>
      <w:r w:rsidDel="00000000" w:rsidR="00000000" w:rsidRPr="00000000">
        <w:rPr>
          <w:rFonts w:ascii="Google Sans Text" w:cs="Google Sans Text" w:eastAsia="Google Sans Text" w:hAnsi="Google Sans Text"/>
          <w:color w:val="1f1f1f"/>
          <w:rtl w:val="0"/>
        </w:rPr>
        <w:t xml:space="preserve"> Deploy PgBouncer in "Transaction Pooling" mode to maximize concurrency, allowing thousands of client connections to be multiplexed over a few hundred database connections.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Global Edge Routing: Akamai Integration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the internal AWS proxy fleet handles region-to-region routing, integrating an Edge CDN like </w:t>
      </w:r>
      <w:r w:rsidDel="00000000" w:rsidR="00000000" w:rsidRPr="00000000">
        <w:rPr>
          <w:rFonts w:ascii="Google Sans Text" w:cs="Google Sans Text" w:eastAsia="Google Sans Text" w:hAnsi="Google Sans Text"/>
          <w:b w:val="1"/>
          <w:bCs w:val="1"/>
          <w:color w:val="1f1f1f"/>
          <w:rtl w:val="0"/>
        </w:rPr>
        <w:t xml:space="preserve">Akamai</w:t>
      </w:r>
      <w:r w:rsidDel="00000000" w:rsidR="00000000" w:rsidRPr="00000000">
        <w:rPr>
          <w:rFonts w:ascii="Google Sans Text" w:cs="Google Sans Text" w:eastAsia="Google Sans Text" w:hAnsi="Google Sans Text"/>
          <w:color w:val="1f1f1f"/>
          <w:rtl w:val="0"/>
        </w:rPr>
        <w:t xml:space="preserve"> allows for traffic segmentation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it enters the cloud provider's network. This reduces latency by making routing decisions closer to the user and offloads ingress processing from the regional AWS ALBs.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Akamai Application Load Balancer (ALB) Cloudlet: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Akamai capability allows for Layer 7 routing logic at the edge. It can inspect incoming request headers (like X-Shard-ID) or cookies and route traffic to the specific AWS region that hosts that shard.</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Configuration:</w:t>
      </w:r>
      <w:r w:rsidDel="00000000" w:rsidR="00000000" w:rsidRPr="00000000">
        <w:rPr>
          <w:rFonts w:ascii="Google Sans Text" w:cs="Google Sans Text" w:eastAsia="Google Sans Text" w:hAnsi="Google Sans Text"/>
          <w:color w:val="1f1f1f"/>
          <w:rtl w:val="0"/>
        </w:rPr>
        <w:t xml:space="preserve"> The Akamai property is configured with two origins: origin-east.example.com (AWS US-East-2 ALB) and origin-west.example.com (AWS US-West-2 ALB).</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Match Rules:</w:t>
      </w:r>
    </w:p>
    <w:p w:rsidR="00000000" w:rsidDel="00000000" w:rsidP="00000000" w:rsidRDefault="00000000" w:rsidRPr="00000000" w14:paraId="00000041">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Rule A:</w:t>
      </w:r>
      <w:r w:rsidDel="00000000" w:rsidR="00000000" w:rsidRPr="00000000">
        <w:rPr>
          <w:rFonts w:ascii="Google Sans Text" w:cs="Google Sans Text" w:eastAsia="Google Sans Text" w:hAnsi="Google Sans Text"/>
          <w:color w:val="1f1f1f"/>
          <w:rtl w:val="0"/>
        </w:rPr>
        <w:t xml:space="preserve"> IF Request Header "X-Shard-ID" MATCHES "us-east-*" THEN Route to Origin East.</w:t>
      </w:r>
    </w:p>
    <w:p w:rsidR="00000000" w:rsidDel="00000000" w:rsidP="00000000" w:rsidRDefault="00000000" w:rsidRPr="00000000" w14:paraId="00000042">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Rule B:</w:t>
      </w:r>
      <w:r w:rsidDel="00000000" w:rsidR="00000000" w:rsidRPr="00000000">
        <w:rPr>
          <w:rFonts w:ascii="Google Sans Text" w:cs="Google Sans Text" w:eastAsia="Google Sans Text" w:hAnsi="Google Sans Text"/>
          <w:color w:val="1f1f1f"/>
          <w:rtl w:val="0"/>
        </w:rPr>
        <w:t xml:space="preserve"> IF Request Header "X-Shard-ID" MATCHES "us-west-*" THEN Route to Origin West.</w:t>
      </w:r>
    </w:p>
    <w:p w:rsidR="00000000" w:rsidDel="00000000" w:rsidP="00000000" w:rsidRDefault="00000000" w:rsidRPr="00000000" w14:paraId="00000043">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Default Rule:</w:t>
      </w:r>
      <w:r w:rsidDel="00000000" w:rsidR="00000000" w:rsidRPr="00000000">
        <w:rPr>
          <w:rFonts w:ascii="Google Sans Text" w:cs="Google Sans Text" w:eastAsia="Google Sans Text" w:hAnsi="Google Sans Text"/>
          <w:color w:val="1f1f1f"/>
          <w:rtl w:val="0"/>
        </w:rPr>
        <w:t xml:space="preserve"> If no header is present, use Akamai Global Traffic Management (GTM) to route to the geographically closest region.</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Failover Logic:</w:t>
      </w:r>
      <w:r w:rsidDel="00000000" w:rsidR="00000000" w:rsidRPr="00000000">
        <w:rPr>
          <w:rFonts w:ascii="Google Sans Text" w:cs="Google Sans Text" w:eastAsia="Google Sans Text" w:hAnsi="Google Sans Text"/>
          <w:color w:val="1f1f1f"/>
          <w:rtl w:val="0"/>
        </w:rPr>
        <w:t xml:space="preserve"> The Akamai ALB Cloudlet supports liveness tests. If the US-East-2 origin stops responding (return 5xx or timeout), Akamai can automatically failover traffic to US-West-2. This provides a "Global Failover" mechanism that is faster than DNS propagation because it happens at the HTTP proxy layer.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Akamai EdgeWorkers for Dynamic Sharding: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the client application cannot set the X-Shard-ID header, Akamai EdgeWorkers (JavaScript at the edge) can calculate the shard key dynamically.</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Scenario:</w:t>
      </w:r>
      <w:r w:rsidDel="00000000" w:rsidR="00000000" w:rsidRPr="00000000">
        <w:rPr>
          <w:rFonts w:ascii="Google Sans Text" w:cs="Google Sans Text" w:eastAsia="Google Sans Text" w:hAnsi="Google Sans Text"/>
          <w:color w:val="1f1f1f"/>
          <w:rtl w:val="0"/>
        </w:rPr>
        <w:t xml:space="preserve"> The application uses a numeric User_ID in the URL (e.g., /api/v1/users/12345/profile).</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Edge Logic:</w:t>
      </w:r>
      <w:r w:rsidDel="00000000" w:rsidR="00000000" w:rsidRPr="00000000">
        <w:rPr>
          <w:rFonts w:ascii="Google Sans Text" w:cs="Google Sans Text" w:eastAsia="Google Sans Text" w:hAnsi="Google Sans Text"/>
          <w:color w:val="1f1f1f"/>
          <w:rtl w:val="0"/>
        </w:rPr>
        <w:t xml:space="preserve"> An EdgeWorker script intercepts the request, extracts 12345, performs a modulo operation (e.g., 12345 % 2), and determines if the user belongs to Shard A (East) or Shard B (West).</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Routing:</w:t>
      </w:r>
      <w:r w:rsidDel="00000000" w:rsidR="00000000" w:rsidRPr="00000000">
        <w:rPr>
          <w:rFonts w:ascii="Google Sans Text" w:cs="Google Sans Text" w:eastAsia="Google Sans Text" w:hAnsi="Google Sans Text"/>
          <w:color w:val="1f1f1f"/>
          <w:rtl w:val="0"/>
        </w:rPr>
        <w:t xml:space="preserve"> The EdgeWorker then modifies the forward request to direct it to the correct regional origin, ensuring the "Partitioning Scheme" is respected without requiring changes to the backend or client-side code.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Replication Engine: Oracle GoldenGate (Required)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Oracle GoldenGate is the required replication engine for this specific architecture. Standard cloud-native replication tools like Amazon Aurora Global Database or AWS DMS are insufficient because they operate on an active-passive model (single-writer) and do not support the multi-master, bi-directional write capabilities necessary for active-active geo-sharding.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GoldenGate is essential here because it provides:</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Bi-Directional Replication:</w:t>
      </w:r>
      <w:r w:rsidDel="00000000" w:rsidR="00000000" w:rsidRPr="00000000">
        <w:rPr>
          <w:rFonts w:ascii="Google Sans Text" w:cs="Google Sans Text" w:eastAsia="Google Sans Text" w:hAnsi="Google Sans Text"/>
          <w:color w:val="1f1f1f"/>
          <w:rtl w:val="0"/>
        </w:rPr>
        <w:t xml:space="preserve"> The ability to capture transactions from both US-East-2 and US-West-2 simultaneously and replicate them to the peer region without creating loops.</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Conflict Detection and Resolution (CDR):</w:t>
      </w:r>
      <w:r w:rsidDel="00000000" w:rsidR="00000000" w:rsidRPr="00000000">
        <w:rPr>
          <w:rFonts w:ascii="Google Sans Text" w:cs="Google Sans Text" w:eastAsia="Google Sans Text" w:hAnsi="Google Sans Text"/>
          <w:color w:val="1f1f1f"/>
          <w:rtl w:val="0"/>
        </w:rPr>
        <w:t xml:space="preserve"> Built-in logic to handle "Split-Brain" scenarios where the same row is updated in both regions before replication is complete. GoldenGate's CDR can automatically resolve these conflicts using timestamps or delta values, preventing data corruption.</w:t>
      </w:r>
    </w:p>
    <w:p w:rsidR="00000000" w:rsidDel="00000000" w:rsidP="00000000" w:rsidRDefault="00000000" w:rsidRPr="00000000" w14:paraId="0000004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Heterogeneous Support:</w:t>
      </w:r>
      <w:r w:rsidDel="00000000" w:rsidR="00000000" w:rsidRPr="00000000">
        <w:rPr>
          <w:rFonts w:ascii="Google Sans Text" w:cs="Google Sans Text" w:eastAsia="Google Sans Text" w:hAnsi="Google Sans Text"/>
          <w:color w:val="1f1f1f"/>
          <w:rtl w:val="0"/>
        </w:rPr>
        <w:t xml:space="preserve"> It decouples the replication layer from the database engine, allowing for complex filtering and transformation of data in flight, which physical replication methods cannot achieve.</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Conflict Detection and Resolution (CDR): The Consistency Challenge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High-Level Need for CDR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any distributed active-active architecture spanning significant geographic distances, conflict resolution is not just a feature—it is a mathematical necessity required to preserve data integrity. Because data cannot travel faster than the speed of light, there is an unavoidable latency window (approximately 65ms between Ohio and Oregon) during which the databases in the East and West are temporarily out of sync.</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two users update the same record in different regions at the exact same moment, both databases will initially accept the write locally. When replication eventually attempts to sync these changes, the system faces a "Split-Brain" scenario: two valid but conflicting truths exist for the same data. Without a predefined conflict resolution strategy, this would result in data corruption, overwritten transactions, or replication failures. CDR provides the deterministic logic (the "rules of the road") to automatically decide which update wins or how to merge them, ensuring that both databases converge to a single, consistent state without human intervention.</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Resolution Algorithms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architecture must implement specific RESOLVECONFLICT parameters in the GoldenGate Replicat configuration. The choice of algorithm depends on the business domain.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2: Conflict Resolution Strategies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Algorithm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Pros/Cons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USEMAX (Timestamp)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update with the latest timestamp wins.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Content Management, User Profiles.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Pros:</w:t>
            </w:r>
            <w:r w:rsidDel="00000000" w:rsidR="00000000" w:rsidRPr="00000000">
              <w:rPr>
                <w:rFonts w:ascii="Google Sans Text" w:cs="Google Sans Text" w:eastAsia="Google Sans Text" w:hAnsi="Google Sans Text"/>
                <w:color w:val="1f1f1f"/>
                <w:shd w:fill="auto" w:val="clear"/>
                <w:rtl w:val="0"/>
              </w:rPr>
              <w:t xml:space="preserve"> Simple to implement. </w:t>
            </w:r>
            <w:r w:rsidDel="00000000" w:rsidR="00000000" w:rsidRPr="00000000">
              <w:rPr>
                <w:rFonts w:ascii="Google Sans Text" w:cs="Google Sans Text" w:eastAsia="Google Sans Text" w:hAnsi="Google Sans Text"/>
                <w:b w:val="1"/>
                <w:bCs w:val="1"/>
                <w:color w:val="1f1f1f"/>
                <w:shd w:fill="auto" w:val="clear"/>
                <w:rtl w:val="0"/>
              </w:rPr>
              <w:t xml:space="preserve">Cons:</w:t>
            </w:r>
            <w:r w:rsidDel="00000000" w:rsidR="00000000" w:rsidRPr="00000000">
              <w:rPr>
                <w:rFonts w:ascii="Google Sans Text" w:cs="Google Sans Text" w:eastAsia="Google Sans Text" w:hAnsi="Google Sans Text"/>
                <w:color w:val="1f1f1f"/>
                <w:shd w:fill="auto" w:val="clear"/>
                <w:rtl w:val="0"/>
              </w:rPr>
              <w:t xml:space="preserve"> Requires strict NTP sync; sensitive to clock skew; "Lost Update" problem if clocks drift.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USEDELTA (Delta)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Applies the mathematical difference (+20) rather than the absolute value (=120).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Financial Ledgers, Inventory Counters.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Pros:</w:t>
            </w:r>
            <w:r w:rsidDel="00000000" w:rsidR="00000000" w:rsidRPr="00000000">
              <w:rPr>
                <w:rFonts w:ascii="Google Sans Text" w:cs="Google Sans Text" w:eastAsia="Google Sans Text" w:hAnsi="Google Sans Text"/>
                <w:color w:val="1f1f1f"/>
                <w:shd w:fill="auto" w:val="clear"/>
                <w:rtl w:val="0"/>
              </w:rPr>
              <w:t xml:space="preserve"> Preserves intent of both transactions; no data loss. </w:t>
            </w:r>
            <w:r w:rsidDel="00000000" w:rsidR="00000000" w:rsidRPr="00000000">
              <w:rPr>
                <w:rFonts w:ascii="Google Sans Text" w:cs="Google Sans Text" w:eastAsia="Google Sans Text" w:hAnsi="Google Sans Text"/>
                <w:b w:val="1"/>
                <w:bCs w:val="1"/>
                <w:color w:val="1f1f1f"/>
                <w:shd w:fill="auto" w:val="clear"/>
                <w:rtl w:val="0"/>
              </w:rPr>
              <w:t xml:space="preserve">Cons:</w:t>
            </w:r>
            <w:r w:rsidDel="00000000" w:rsidR="00000000" w:rsidRPr="00000000">
              <w:rPr>
                <w:rFonts w:ascii="Google Sans Text" w:cs="Google Sans Text" w:eastAsia="Google Sans Text" w:hAnsi="Google Sans Text"/>
                <w:color w:val="1f1f1f"/>
                <w:shd w:fill="auto" w:val="clear"/>
                <w:rtl w:val="0"/>
              </w:rPr>
              <w:t xml:space="preserve"> Only applicable to numeric fields; complex to configure.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Trusted Source (Site Priority)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One site (e.g., East) always wins in a conflict.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Master Data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Pros:</w:t>
            </w:r>
            <w:r w:rsidDel="00000000" w:rsidR="00000000" w:rsidRPr="00000000">
              <w:rPr>
                <w:rFonts w:ascii="Google Sans Text" w:cs="Google Sans Text" w:eastAsia="Google Sans Text" w:hAnsi="Google Sans Text"/>
                <w:color w:val="1f1f1f"/>
                <w:shd w:fill="auto" w:val="clear"/>
                <w:rtl w:val="0"/>
              </w:rPr>
              <w:t xml:space="preserve"> Deterministic. </w:t>
            </w:r>
            <w:r w:rsidDel="00000000" w:rsidR="00000000" w:rsidRPr="00000000">
              <w:rPr>
                <w:rFonts w:ascii="Google Sans Text" w:cs="Google Sans Text" w:eastAsia="Google Sans Text" w:hAnsi="Google Sans Text"/>
                <w:b w:val="1"/>
                <w:bCs w:val="1"/>
                <w:color w:val="1f1f1f"/>
                <w:shd w:fill="auto" w:val="clear"/>
                <w:rtl w:val="0"/>
              </w:rPr>
              <w:t xml:space="preserve">Cons:</w:t>
            </w:r>
            <w:r w:rsidDel="00000000" w:rsidR="00000000" w:rsidRPr="00000000">
              <w:rPr>
                <w:rFonts w:ascii="Google Sans Text" w:cs="Google Sans Text" w:eastAsia="Google Sans Text" w:hAnsi="Google Sans Text"/>
                <w:color w:val="1f1f1f"/>
                <w:shd w:fill="auto" w:val="clear"/>
                <w:rtl w:val="0"/>
              </w:rPr>
              <w:t xml:space="preserve"> Data loss for valid writes occurring in the secondary region.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Manual/Exception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Writes conflicting rows to an "Exception Table" for human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High-value transactions (e.g., &gt;$10k wire transfers).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Pros:</w:t>
            </w:r>
            <w:r w:rsidDel="00000000" w:rsidR="00000000" w:rsidRPr="00000000">
              <w:rPr>
                <w:rFonts w:ascii="Google Sans Text" w:cs="Google Sans Text" w:eastAsia="Google Sans Text" w:hAnsi="Google Sans Text"/>
                <w:color w:val="1f1f1f"/>
                <w:shd w:fill="auto" w:val="clear"/>
                <w:rtl w:val="0"/>
              </w:rPr>
              <w:t xml:space="preserve"> Safest. </w:t>
            </w:r>
            <w:r w:rsidDel="00000000" w:rsidR="00000000" w:rsidRPr="00000000">
              <w:rPr>
                <w:rFonts w:ascii="Google Sans Text" w:cs="Google Sans Text" w:eastAsia="Google Sans Text" w:hAnsi="Google Sans Text"/>
                <w:b w:val="1"/>
                <w:bCs w:val="1"/>
                <w:color w:val="1f1f1f"/>
                <w:shd w:fill="auto" w:val="clear"/>
                <w:rtl w:val="0"/>
              </w:rPr>
              <w:t xml:space="preserve">Cons:</w:t>
            </w:r>
            <w:r w:rsidDel="00000000" w:rsidR="00000000" w:rsidRPr="00000000">
              <w:rPr>
                <w:rFonts w:ascii="Google Sans Text" w:cs="Google Sans Text" w:eastAsia="Google Sans Text" w:hAnsi="Google Sans Text"/>
                <w:color w:val="1f1f1f"/>
                <w:shd w:fill="auto" w:val="clear"/>
                <w:rtl w:val="0"/>
              </w:rPr>
              <w:t xml:space="preserve"> High operational overhead; creates a backlog of unresolved data.</w:t>
            </w:r>
          </w:p>
        </w:tc>
      </w:tr>
    </w:tbl>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Handling PostgreSQL Specifics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Oracle Database has native CDR integration, PostgreSQL relies on GoldenGate's logic or extensions like pgactive.</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Sequences:</w:t>
      </w:r>
      <w:r w:rsidDel="00000000" w:rsidR="00000000" w:rsidRPr="00000000">
        <w:rPr>
          <w:rFonts w:ascii="Google Sans Text" w:cs="Google Sans Text" w:eastAsia="Google Sans Text" w:hAnsi="Google Sans Text"/>
          <w:color w:val="1f1f1f"/>
          <w:rtl w:val="0"/>
        </w:rPr>
        <w:t xml:space="preserve"> Database sequences are not replicated. US-East-2 should use odd numbers (1, 3, 5...) and US-West-2 even numbers (2, 4, 6...) for primary key generation to avoid uniqueness violations during active-active inserts. Alternatively, UUIDs can be used, though they have a higher storage footprint and fragmentation impact on B-Tree indexes.</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Triggers:</w:t>
      </w:r>
      <w:r w:rsidDel="00000000" w:rsidR="00000000" w:rsidRPr="00000000">
        <w:rPr>
          <w:rFonts w:ascii="Google Sans Text" w:cs="Google Sans Text" w:eastAsia="Google Sans Text" w:hAnsi="Google Sans Text"/>
          <w:color w:val="1f1f1f"/>
          <w:rtl w:val="0"/>
        </w:rPr>
        <w:t xml:space="preserve"> Triggers on the target database must be disabled or configured to ignore replicated sessions (session_replication_role = replica in Postgres) to prevent them from firing twice (once on source, once on target), which causes data corruption.</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Viability Analysis: Pros and Cons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Pros</w:t>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Extreme Availability (RPO/RTO ~ 0):</w:t>
      </w:r>
      <w:r w:rsidDel="00000000" w:rsidR="00000000" w:rsidRPr="00000000">
        <w:rPr>
          <w:rFonts w:ascii="Google Sans Text" w:cs="Google Sans Text" w:eastAsia="Google Sans Text" w:hAnsi="Google Sans Text"/>
          <w:color w:val="1f1f1f"/>
          <w:rtl w:val="0"/>
        </w:rPr>
        <w:t xml:space="preserve"> In the event of a total region failure (e.g., US-East-2 goes dark), the US-West-2 shard is already active and contains near-real-time data. Failover involves merely updating the Proxy Fleet routing rules, achieving an RTO measured in seconds.</w:t>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Partition Tolerance:</w:t>
      </w:r>
      <w:r w:rsidDel="00000000" w:rsidR="00000000" w:rsidRPr="00000000">
        <w:rPr>
          <w:rFonts w:ascii="Google Sans Text" w:cs="Google Sans Text" w:eastAsia="Google Sans Text" w:hAnsi="Google Sans Text"/>
          <w:color w:val="1f1f1f"/>
          <w:rtl w:val="0"/>
        </w:rPr>
        <w:t xml:space="preserve"> The system continues to accept writes in both regions even if the network link between them is severed. Changes queue up in the GoldenGate trail files on EFS and automatically sync when the network restores.</w:t>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Data Sovereignty &amp; Locality:</w:t>
      </w:r>
      <w:r w:rsidDel="00000000" w:rsidR="00000000" w:rsidRPr="00000000">
        <w:rPr>
          <w:rFonts w:ascii="Google Sans Text" w:cs="Google Sans Text" w:eastAsia="Google Sans Text" w:hAnsi="Google Sans Text"/>
          <w:color w:val="1f1f1f"/>
          <w:rtl w:val="0"/>
        </w:rPr>
        <w:t xml:space="preserve"> Sharding allows data to stay physically close to the user, reducing application latency. It also enables compliance with data residency laws if the architecture were expanded to international regions (e.g., GDPR in Europe).</w:t>
      </w:r>
    </w:p>
    <w:p w:rsidR="00000000" w:rsidDel="00000000" w:rsidP="00000000" w:rsidRDefault="00000000" w:rsidRPr="00000000" w14:paraId="0000007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Zero-Downtime Migration:</w:t>
      </w:r>
      <w:r w:rsidDel="00000000" w:rsidR="00000000" w:rsidRPr="00000000">
        <w:rPr>
          <w:rFonts w:ascii="Google Sans Text" w:cs="Google Sans Text" w:eastAsia="Google Sans Text" w:hAnsi="Google Sans Text"/>
          <w:color w:val="1f1f1f"/>
          <w:rtl w:val="0"/>
        </w:rPr>
        <w:t xml:space="preserve"> The active-active nature allows for "Blue/Green" upgrades. One region can be patched while the other handles traffic, with GoldenGate catching up the changes post-maintenance.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Cons</w:t>
      </w:r>
    </w:p>
    <w:p w:rsidR="00000000" w:rsidDel="00000000" w:rsidP="00000000" w:rsidRDefault="00000000" w:rsidRPr="00000000" w14:paraId="0000007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Operational Complexity:</w:t>
      </w:r>
      <w:r w:rsidDel="00000000" w:rsidR="00000000" w:rsidRPr="00000000">
        <w:rPr>
          <w:rFonts w:ascii="Google Sans Text" w:cs="Google Sans Text" w:eastAsia="Google Sans Text" w:hAnsi="Google Sans Text"/>
          <w:color w:val="1f1f1f"/>
          <w:rtl w:val="0"/>
        </w:rPr>
        <w:t xml:space="preserve"> Managing a distributed state machine is non-trivial. The "Complexity Tax" includes maintaining GoldenGate Hubs, monitoring replication lag, managing wallet credentials, and debugging conflict exceptions.</w:t>
      </w:r>
    </w:p>
    <w:p w:rsidR="00000000" w:rsidDel="00000000" w:rsidP="00000000" w:rsidRDefault="00000000" w:rsidRPr="00000000" w14:paraId="0000007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Cost:</w:t>
      </w:r>
    </w:p>
    <w:p w:rsidR="00000000" w:rsidDel="00000000" w:rsidP="00000000" w:rsidRDefault="00000000" w:rsidRPr="00000000" w14:paraId="00000078">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Licensing:</w:t>
      </w:r>
      <w:r w:rsidDel="00000000" w:rsidR="00000000" w:rsidRPr="00000000">
        <w:rPr>
          <w:rFonts w:ascii="Google Sans Text" w:cs="Google Sans Text" w:eastAsia="Google Sans Text" w:hAnsi="Google Sans Text"/>
          <w:color w:val="1f1f1f"/>
          <w:rtl w:val="0"/>
        </w:rPr>
        <w:t xml:space="preserve"> Oracle GoldenGate is expensive. On AWS, it typically requires a "Bring Your Own License" (BYOL) model. Licensing is often based on the number of cores (OCPUs) of the </w:t>
      </w:r>
      <w:r w:rsidDel="00000000" w:rsidR="00000000" w:rsidRPr="00000000">
        <w:rPr>
          <w:rFonts w:ascii="Google Sans Text" w:cs="Google Sans Text" w:eastAsia="Google Sans Text" w:hAnsi="Google Sans Text"/>
          <w:i w:val="1"/>
          <w:iCs w:val="1"/>
          <w:color w:val="1f1f1f"/>
          <w:rtl w:val="0"/>
        </w:rPr>
        <w:t xml:space="preserve">source</w:t>
      </w:r>
      <w:r w:rsidDel="00000000" w:rsidR="00000000" w:rsidRPr="00000000">
        <w:rPr>
          <w:rFonts w:ascii="Google Sans Text" w:cs="Google Sans Text" w:eastAsia="Google Sans Text" w:hAnsi="Google Sans Text"/>
          <w:color w:val="1f1f1f"/>
          <w:rtl w:val="0"/>
        </w:rPr>
        <w:t xml:space="preserve"> database, not just the Hub.</w:t>
      </w:r>
    </w:p>
    <w:p w:rsidR="00000000" w:rsidDel="00000000" w:rsidP="00000000" w:rsidRDefault="00000000" w:rsidRPr="00000000" w14:paraId="00000079">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Infrastructure:</w:t>
      </w:r>
      <w:r w:rsidDel="00000000" w:rsidR="00000000" w:rsidRPr="00000000">
        <w:rPr>
          <w:rFonts w:ascii="Google Sans Text" w:cs="Google Sans Text" w:eastAsia="Google Sans Text" w:hAnsi="Google Sans Text"/>
          <w:color w:val="1f1f1f"/>
          <w:rtl w:val="0"/>
        </w:rPr>
        <w:t xml:space="preserve"> Running redundant EC2 Hubs, EFS storage, and inter-region data transfer costs (AWS charges for data moving over TGW peering) significantly increases Total Cost of Ownership (TCO) compared to active-passive solutions.</w:t>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Data Consistency Risks:</w:t>
      </w:r>
      <w:r w:rsidDel="00000000" w:rsidR="00000000" w:rsidRPr="00000000">
        <w:rPr>
          <w:rFonts w:ascii="Google Sans Text" w:cs="Google Sans Text" w:eastAsia="Google Sans Text" w:hAnsi="Google Sans Text"/>
          <w:color w:val="1f1f1f"/>
          <w:rtl w:val="0"/>
        </w:rPr>
        <w:t xml:space="preserve"> "Strong Eventual Consistency" implies that at any given microsecond, the two databases are not identical. Applications must be designed to tolerate this. A user writing to East and immediately reading from West (before replication arrives) will see stale data ("Read-Your-Writes" consistency violation) unless sticky sessions are strictly enforced.</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Industry Use Cases</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Financial Services: Payment Processing</w:t>
      </w:r>
    </w:p>
    <w:p w:rsidR="00000000" w:rsidDel="00000000" w:rsidP="00000000" w:rsidRDefault="00000000" w:rsidRPr="00000000" w14:paraId="0000007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Scenario:</w:t>
      </w:r>
      <w:r w:rsidDel="00000000" w:rsidR="00000000" w:rsidRPr="00000000">
        <w:rPr>
          <w:rFonts w:ascii="Google Sans Text" w:cs="Google Sans Text" w:eastAsia="Google Sans Text" w:hAnsi="Google Sans Text"/>
          <w:color w:val="1f1f1f"/>
          <w:rtl w:val="0"/>
        </w:rPr>
        <w:t xml:space="preserve"> A global payment gateway processes transactions 24/7.</w:t>
      </w:r>
    </w:p>
    <w:p w:rsidR="00000000" w:rsidDel="00000000" w:rsidP="00000000" w:rsidRDefault="00000000" w:rsidRPr="00000000" w14:paraId="0000007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Fit:</w:t>
      </w:r>
      <w:r w:rsidDel="00000000" w:rsidR="00000000" w:rsidRPr="00000000">
        <w:rPr>
          <w:rFonts w:ascii="Google Sans Text" w:cs="Google Sans Text" w:eastAsia="Google Sans Text" w:hAnsi="Google Sans Text"/>
          <w:color w:val="1f1f1f"/>
          <w:rtl w:val="0"/>
        </w:rPr>
        <w:t xml:space="preserve"> High. The active-active architecture ensures that if the East Coast data center fails, payment processing continues in the West.</w:t>
      </w:r>
    </w:p>
    <w:p w:rsidR="00000000" w:rsidDel="00000000" w:rsidP="00000000" w:rsidRDefault="00000000" w:rsidRPr="00000000" w14:paraId="0000007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CDR Strategy: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USEDELTA</w:t>
      </w:r>
      <w:r w:rsidDel="00000000" w:rsidR="00000000" w:rsidRPr="00000000">
        <w:rPr>
          <w:rFonts w:ascii="Google Sans Text" w:cs="Google Sans Text" w:eastAsia="Google Sans Text" w:hAnsi="Google Sans Text"/>
          <w:color w:val="1f1f1f"/>
          <w:rtl w:val="0"/>
        </w:rPr>
        <w:t xml:space="preserve">. If a user withdraws $100 in East and a recurring payment withdraws $50 in West simultaneously, the Delta algorithm merges these to a total deduction of $150, preventing a "free money" loophole where one overwrites the other.</w:t>
      </w:r>
    </w:p>
    <w:p w:rsidR="00000000" w:rsidDel="00000000" w:rsidP="00000000" w:rsidRDefault="00000000" w:rsidRPr="00000000" w14:paraId="00000080">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Case Study:</w:t>
      </w:r>
      <w:r w:rsidDel="00000000" w:rsidR="00000000" w:rsidRPr="00000000">
        <w:rPr>
          <w:rFonts w:ascii="Google Sans Text" w:cs="Google Sans Text" w:eastAsia="Google Sans Text" w:hAnsi="Google Sans Text"/>
          <w:color w:val="1f1f1f"/>
          <w:rtl w:val="0"/>
        </w:rPr>
        <w:t xml:space="preserve"> Fleetcor utilized a similar GoldenGate architecture on AWS to migrate and replicate legacy Oracle financial databases with minimal downtime.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Retail: Inventory Management</w:t>
      </w:r>
    </w:p>
    <w:p w:rsidR="00000000" w:rsidDel="00000000" w:rsidP="00000000" w:rsidRDefault="00000000" w:rsidRPr="00000000" w14:paraId="0000008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Scenario:</w:t>
      </w:r>
      <w:r w:rsidDel="00000000" w:rsidR="00000000" w:rsidRPr="00000000">
        <w:rPr>
          <w:rFonts w:ascii="Google Sans Text" w:cs="Google Sans Text" w:eastAsia="Google Sans Text" w:hAnsi="Google Sans Text"/>
          <w:color w:val="1f1f1f"/>
          <w:rtl w:val="0"/>
        </w:rPr>
        <w:t xml:space="preserve"> High-velocity inventory updates during "Black Friday."</w:t>
      </w:r>
    </w:p>
    <w:p w:rsidR="00000000" w:rsidDel="00000000" w:rsidP="00000000" w:rsidRDefault="00000000" w:rsidRPr="00000000" w14:paraId="0000008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Fit:</w:t>
      </w:r>
      <w:r w:rsidDel="00000000" w:rsidR="00000000" w:rsidRPr="00000000">
        <w:rPr>
          <w:rFonts w:ascii="Google Sans Text" w:cs="Google Sans Text" w:eastAsia="Google Sans Text" w:hAnsi="Google Sans Text"/>
          <w:color w:val="1f1f1f"/>
          <w:rtl w:val="0"/>
        </w:rPr>
        <w:t xml:space="preserve"> Medium-High. Sharding allows write throughput to scale linearly.</w:t>
      </w:r>
    </w:p>
    <w:p w:rsidR="00000000" w:rsidDel="00000000" w:rsidP="00000000" w:rsidRDefault="00000000" w:rsidRPr="00000000" w14:paraId="0000008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Sharding Strategy:</w:t>
      </w:r>
      <w:r w:rsidDel="00000000" w:rsidR="00000000" w:rsidRPr="00000000">
        <w:rPr>
          <w:rFonts w:ascii="Google Sans Text" w:cs="Google Sans Text" w:eastAsia="Google Sans Text" w:hAnsi="Google Sans Text"/>
          <w:color w:val="1f1f1f"/>
          <w:rtl w:val="0"/>
        </w:rPr>
        <w:t xml:space="preserve"> Inventory is sharded by Product_ID. Electronics writes go to West; Clothing writes go to East. This ensures no two regions write to the same SKU counter, avoiding conflicts entirely.</w:t>
      </w:r>
    </w:p>
    <w:p w:rsidR="00000000" w:rsidDel="00000000" w:rsidP="00000000" w:rsidRDefault="00000000" w:rsidRPr="00000000" w14:paraId="0000008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CDR Strategy: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USEMAX</w:t>
      </w:r>
      <w:r w:rsidDel="00000000" w:rsidR="00000000" w:rsidRPr="00000000">
        <w:rPr>
          <w:rFonts w:ascii="Google Sans Text" w:cs="Google Sans Text" w:eastAsia="Google Sans Text" w:hAnsi="Google Sans Text"/>
          <w:color w:val="1f1f1f"/>
          <w:rtl w:val="0"/>
        </w:rPr>
        <w:t xml:space="preserve">. If a conflict does occur (e.g., admin updates product description in both regions), the latest update generally suffices.</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SaaS: Multi-Tenant CRM</w:t>
      </w:r>
    </w:p>
    <w:p w:rsidR="00000000" w:rsidDel="00000000" w:rsidP="00000000" w:rsidRDefault="00000000" w:rsidRPr="00000000" w14:paraId="00000087">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Scenario:</w:t>
      </w:r>
      <w:r w:rsidDel="00000000" w:rsidR="00000000" w:rsidRPr="00000000">
        <w:rPr>
          <w:rFonts w:ascii="Google Sans Text" w:cs="Google Sans Text" w:eastAsia="Google Sans Text" w:hAnsi="Google Sans Text"/>
          <w:color w:val="1f1f1f"/>
          <w:rtl w:val="0"/>
        </w:rPr>
        <w:t xml:space="preserve"> A CRM platform serving thousands of businesses.</w:t>
      </w:r>
    </w:p>
    <w:p w:rsidR="00000000" w:rsidDel="00000000" w:rsidP="00000000" w:rsidRDefault="00000000" w:rsidRPr="00000000" w14:paraId="0000008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Fit:</w:t>
      </w:r>
      <w:r w:rsidDel="00000000" w:rsidR="00000000" w:rsidRPr="00000000">
        <w:rPr>
          <w:rFonts w:ascii="Google Sans Text" w:cs="Google Sans Text" w:eastAsia="Google Sans Text" w:hAnsi="Google Sans Text"/>
          <w:color w:val="1f1f1f"/>
          <w:rtl w:val="0"/>
        </w:rPr>
        <w:t xml:space="preserve"> High. Tenants are pinned to a region.</w:t>
      </w:r>
    </w:p>
    <w:p w:rsidR="00000000" w:rsidDel="00000000" w:rsidP="00000000" w:rsidRDefault="00000000" w:rsidRPr="00000000" w14:paraId="0000008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Sharding Strategy:</w:t>
      </w:r>
      <w:r w:rsidDel="00000000" w:rsidR="00000000" w:rsidRPr="00000000">
        <w:rPr>
          <w:rFonts w:ascii="Google Sans Text" w:cs="Google Sans Text" w:eastAsia="Google Sans Text" w:hAnsi="Google Sans Text"/>
          <w:color w:val="1f1f1f"/>
          <w:rtl w:val="0"/>
        </w:rPr>
        <w:t xml:space="preserve"> Tenant_ID determines the shard. Tenant A is East-homed; Tenant B is West-homed.</w:t>
      </w:r>
    </w:p>
    <w:p w:rsidR="00000000" w:rsidDel="00000000" w:rsidP="00000000" w:rsidRDefault="00000000" w:rsidRPr="00000000" w14:paraId="0000008A">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Benefit: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Blast Radius Containment</w:t>
      </w:r>
      <w:r w:rsidDel="00000000" w:rsidR="00000000" w:rsidRPr="00000000">
        <w:rPr>
          <w:rFonts w:ascii="Google Sans Text" w:cs="Google Sans Text" w:eastAsia="Google Sans Text" w:hAnsi="Google Sans Text"/>
          <w:color w:val="1f1f1f"/>
          <w:rtl w:val="0"/>
        </w:rPr>
        <w:t xml:space="preserve">. A database corruption in the East shard affects only East-homed tenants. West tenants remain unaffected, improving overall system reliability metrics.</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Comparative Analysis: GoldenGate vs. Cloud-Native Alternatives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is essential to weigh this bespoke architecture against managed alternatives like </w:t>
      </w:r>
      <w:r w:rsidDel="00000000" w:rsidR="00000000" w:rsidRPr="00000000">
        <w:rPr>
          <w:rFonts w:ascii="Google Sans Text" w:cs="Google Sans Text" w:eastAsia="Google Sans Text" w:hAnsi="Google Sans Text"/>
          <w:b w:val="1"/>
          <w:bCs w:val="1"/>
          <w:color w:val="1f1f1f"/>
          <w:rtl w:val="0"/>
        </w:rPr>
        <w:t xml:space="preserve">Amazon Aurora Global Database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3: Oracle GoldenGate vs. Amazon Aurora Global Database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Oracle GoldenGate (OGG)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Amazon Aurora Global Database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Replication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Logical (SQL/Transaction 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Physical (Storage/Block based).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Write Capability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Active-Active.</w:t>
            </w:r>
            <w:r w:rsidDel="00000000" w:rsidR="00000000" w:rsidRPr="00000000">
              <w:rPr>
                <w:rFonts w:ascii="Google Sans Text" w:cs="Google Sans Text" w:eastAsia="Google Sans Text" w:hAnsi="Google Sans Text"/>
                <w:color w:val="1f1f1f"/>
                <w:shd w:fill="auto" w:val="clear"/>
                <w:rtl w:val="0"/>
              </w:rPr>
              <w:t xml:space="preserve"> Writes allowed in all regions simultaneously.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Active-Passive.</w:t>
            </w:r>
            <w:r w:rsidDel="00000000" w:rsidR="00000000" w:rsidRPr="00000000">
              <w:rPr>
                <w:rFonts w:ascii="Google Sans Text" w:cs="Google Sans Text" w:eastAsia="Google Sans Text" w:hAnsi="Google Sans Text"/>
                <w:color w:val="1f1f1f"/>
                <w:shd w:fill="auto" w:val="clear"/>
                <w:rtl w:val="0"/>
              </w:rPr>
              <w:t xml:space="preserve"> One primary writer. Secondaries are Read-Only (with Write Forwarding).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Conflict Resolution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Granular (Row/Column level), customizable algorithms (Delta, Timestamp).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 Single writer model eliminates conflict possibility.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Latency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Higher (~1-3 seconds typical). Dependent on Hub CPU and redo generation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Ultra-Low (&lt;1 second). Replication happens at the storage layer, bypassing the DB engine.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Flexibility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Heterogeneous (Oracle &lt;-&gt; Postgres, Cross-Cloud).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Homogeneous (Aurora &lt;-&gt; Aurora 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Cost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(Licensing + EC2 +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Medium (Service fee + IO costs).</w:t>
            </w:r>
          </w:p>
        </w:tc>
      </w:tr>
    </w:tbl>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Conclusion:</w:t>
      </w:r>
      <w:r w:rsidDel="00000000" w:rsidR="00000000" w:rsidRPr="00000000">
        <w:rPr>
          <w:rFonts w:ascii="Google Sans Text" w:cs="Google Sans Text" w:eastAsia="Google Sans Text" w:hAnsi="Google Sans Text"/>
          <w:color w:val="1f1f1f"/>
          <w:rtl w:val="0"/>
        </w:rPr>
        <w:t xml:space="preserve"> If the application requires </w:t>
      </w:r>
      <w:r w:rsidDel="00000000" w:rsidR="00000000" w:rsidRPr="00000000">
        <w:rPr>
          <w:rFonts w:ascii="Google Sans Text" w:cs="Google Sans Text" w:eastAsia="Google Sans Text" w:hAnsi="Google Sans Text"/>
          <w:i w:val="1"/>
          <w:iCs w:val="1"/>
          <w:color w:val="1f1f1f"/>
          <w:rtl w:val="0"/>
        </w:rPr>
        <w:t xml:space="preserve">true</w:t>
      </w:r>
      <w:r w:rsidDel="00000000" w:rsidR="00000000" w:rsidRPr="00000000">
        <w:rPr>
          <w:rFonts w:ascii="Google Sans Text" w:cs="Google Sans Text" w:eastAsia="Google Sans Text" w:hAnsi="Google Sans Text"/>
          <w:color w:val="1f1f1f"/>
          <w:rtl w:val="0"/>
        </w:rPr>
        <w:t xml:space="preserve"> multi-region active writes (e.g., for sharding write throughput), GoldenGate is the required solution. If the goal is merely Disaster Recovery with low RTO, Aurora Global Database is superior due to lower cost, lower latency, and zero management overhead. The diagram's "Active-Active Geo-Sharding" title implies the former is the requirement.</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Conclusion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US-East-2 &amp; US-West-2 Active-Active Geo-Sharding architecture is a high-performance, high-availability solution designed for enterprises where data integrity and uptime are non-negotiable. By leveraging </w:t>
      </w:r>
      <w:r w:rsidDel="00000000" w:rsidR="00000000" w:rsidRPr="00000000">
        <w:rPr>
          <w:rFonts w:ascii="Google Sans Text" w:cs="Google Sans Text" w:eastAsia="Google Sans Text" w:hAnsi="Google Sans Text"/>
          <w:b w:val="1"/>
          <w:bCs w:val="1"/>
          <w:color w:val="1f1f1f"/>
          <w:rtl w:val="0"/>
        </w:rPr>
        <w:t xml:space="preserve">AWS Transit Gateway</w:t>
      </w:r>
      <w:r w:rsidDel="00000000" w:rsidR="00000000" w:rsidRPr="00000000">
        <w:rPr>
          <w:rFonts w:ascii="Google Sans Text" w:cs="Google Sans Text" w:eastAsia="Google Sans Text" w:hAnsi="Google Sans Text"/>
          <w:color w:val="1f1f1f"/>
          <w:rtl w:val="0"/>
        </w:rPr>
        <w:t xml:space="preserve"> for a stable transport layer, </w:t>
      </w:r>
      <w:r w:rsidDel="00000000" w:rsidR="00000000" w:rsidRPr="00000000">
        <w:rPr>
          <w:rFonts w:ascii="Google Sans Text" w:cs="Google Sans Text" w:eastAsia="Google Sans Text" w:hAnsi="Google Sans Text"/>
          <w:b w:val="1"/>
          <w:bCs w:val="1"/>
          <w:color w:val="1f1f1f"/>
          <w:rtl w:val="0"/>
        </w:rPr>
        <w:t xml:space="preserve">Envoy-based Proxy Fleets</w:t>
      </w:r>
      <w:r w:rsidDel="00000000" w:rsidR="00000000" w:rsidRPr="00000000">
        <w:rPr>
          <w:rFonts w:ascii="Google Sans Text" w:cs="Google Sans Text" w:eastAsia="Google Sans Text" w:hAnsi="Google Sans Text"/>
          <w:color w:val="1f1f1f"/>
          <w:rtl w:val="0"/>
        </w:rPr>
        <w:t xml:space="preserve"> for intelligent, sticky routing, and </w:t>
      </w:r>
      <w:r w:rsidDel="00000000" w:rsidR="00000000" w:rsidRPr="00000000">
        <w:rPr>
          <w:rFonts w:ascii="Google Sans Text" w:cs="Google Sans Text" w:eastAsia="Google Sans Text" w:hAnsi="Google Sans Text"/>
          <w:b w:val="1"/>
          <w:bCs w:val="1"/>
          <w:color w:val="1f1f1f"/>
          <w:rtl w:val="0"/>
        </w:rPr>
        <w:t xml:space="preserve">Oracle GoldenGate Microservices</w:t>
      </w:r>
      <w:r w:rsidDel="00000000" w:rsidR="00000000" w:rsidRPr="00000000">
        <w:rPr>
          <w:rFonts w:ascii="Google Sans Text" w:cs="Google Sans Text" w:eastAsia="Google Sans Text" w:hAnsi="Google Sans Text"/>
          <w:color w:val="1f1f1f"/>
          <w:rtl w:val="0"/>
        </w:rPr>
        <w:t xml:space="preserve"> for robust, conflict-aware replication, this design successfully mitigates the risks inherent in distributed systems.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viable, it imposes a high operational barrier. It requires a maturity model where "Infrastructure as Code" manages the replication topology and "Observability" extends deep into the transaction logs. For organizations capable of supporting this complexity, it offers the "Holy Grail" of database architecture: a system that can survive the loss of an entire continent's infrastructure with zero data loss and minimal disruption to the end user. For those who cannot support this complexity, managed Active-Passive solutions remain the prudent alternative.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