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Сагдеров</w:t>
      </w:r>
      <w:r>
        <w:t xml:space="preserve"> </w:t>
      </w:r>
      <w:r>
        <w:t xml:space="preserve">Камал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hyperlink w:anchor="tbl:std-dir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приведено краткое описание стандартных каталогов Unix.</w:t>
      </w:r>
    </w:p>
    <w:bookmarkStart w:id="0" w:name="tbl:std-dir"/>
    <w:p>
      <w:pPr>
        <w:pStyle w:val="TableCaption"/>
      </w:pPr>
      <w:r>
        <w:t xml:space="preserve">Table 1: Описание некоторых каталогов файловой системы GNU Linux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Описание некоторых каталогов файловой системы GNU Linux 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0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2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000499"/>
            <wp:effectExtent b="0" l="0" r="0" t="0"/>
            <wp:docPr descr="Figure 1: Название рисунка" title="" id="1" name="Picture"/>
            <a:graphic>
              <a:graphicData uri="http://schemas.openxmlformats.org/drawingml/2006/picture">
                <pic:pic>
                  <pic:nvPicPr>
                    <pic:cNvPr descr="image/placeimg_800_600_tech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Название рисунка</w:t>
      </w:r>
    </w:p>
    <w:bookmarkEnd w:id="0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29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r>
        <w:t xml:space="preserve">Learning the bash Shell: Unix Shell Programming</w:t>
      </w:r>
      <w:r>
        <w:t xml:space="preserve">. O’Reilly Media, 2005. 354 с.</w:t>
      </w:r>
    </w:p>
    <w:bookmarkEnd w:id="29"/>
    <w:bookmarkStart w:id="30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0"/>
    <w:bookmarkStart w:id="31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r>
        <w:t xml:space="preserve">Bash Pocket Reference</w:t>
      </w:r>
      <w:r>
        <w:t xml:space="preserve">. O’Reilly Media, 2016. 156 с.</w:t>
      </w:r>
    </w:p>
    <w:bookmarkEnd w:id="31"/>
    <w:bookmarkStart w:id="32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2"/>
    <w:bookmarkStart w:id="33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27" Target="https://www.gnu.org/software/bash/manual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www.gnu.org/software/bash/manual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Сагдеров Камал</dc:creator>
  <dc:language>ru-RU</dc:language>
  <cp:keywords/>
  <dcterms:created xsi:type="dcterms:W3CDTF">2023-05-15T18:09:53Z</dcterms:created>
  <dcterms:modified xsi:type="dcterms:W3CDTF">2023-05-15T18:09:53Z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