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Камал,</w:t>
      </w:r>
      <w:r>
        <w:t xml:space="preserve"> </w:t>
      </w:r>
      <w:r>
        <w:t xml:space="preserve">НФИбд-04-22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 [0]</w:t>
      </w:r>
    </w:p>
    <w:p>
      <w:pPr>
        <w:pStyle w:val="BodyText"/>
      </w:pPr>
      <w:r>
        <w:rPr>
          <w:bCs/>
          <w:b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</w:t>
      </w:r>
      <w:r>
        <w:t xml:space="preserve"> </w:t>
      </w:r>
      <w:r>
        <w:t xml:space="preserve">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</w:t>
      </w:r>
      <w:r>
        <w:t xml:space="preserve"> </w:t>
      </w:r>
      <w:r>
        <w:t xml:space="preserve">Даже при раскрытии части последовательности гаммы нельзя получить информацию о всём скрываемом тексте.</w:t>
      </w:r>
    </w:p>
    <w:p>
      <w:pPr>
        <w:pStyle w:val="BodyText"/>
      </w:pPr>
      <w:r>
        <w:t xml:space="preserve">Наложение гаммы по сути представляет собой выполнение операции</w:t>
      </w:r>
      <w:r>
        <w:t xml:space="preserve"> </w:t>
      </w:r>
      <w:r>
        <w:t xml:space="preserve">сложения по модулю 2 (XOR) (обозначаемая знаком ⊕) между элементами</w:t>
      </w:r>
      <w:r>
        <w:t xml:space="preserve"> </w:t>
      </w:r>
      <w:r>
        <w:t xml:space="preserve">гаммы и элементами подлежащего сокрытию текста. Напомним, как работает операция XOR над битами: 0 ⊕ 0 = 0, 0 ⊕ 1 = 1, 1 ⊕ 0 = 1, 1 ⊕ 1 = 0.</w:t>
      </w:r>
    </w:p>
    <w:p>
      <w:pPr>
        <w:pStyle w:val="BodyText"/>
      </w:pP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</w:t>
      </w:r>
      <w:r>
        <w:t xml:space="preserve"> </w:t>
      </w:r>
      <w:r>
        <w:t xml:space="preserve">граммой.</w:t>
      </w:r>
    </w:p>
    <w:p>
      <w:pPr>
        <w:pStyle w:val="BodyText"/>
      </w:pP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w:r>
        <w:rPr>
          <w:rStyle w:val="VerbatimChar"/>
        </w:rPr>
        <w:t xml:space="preserve">Ci = Pi ⊕ Ki</w:t>
      </w:r>
      <w:r>
        <w:t xml:space="preserve">,</w:t>
      </w:r>
    </w:p>
    <w:p>
      <w:pPr>
        <w:pStyle w:val="BodyText"/>
      </w:pPr>
      <w:r>
        <w:rPr>
          <w:iCs/>
          <w:i/>
        </w:rPr>
        <w:t xml:space="preserve">где Ci — i-й символ получившегося зашифрованного послания, Pi — i-й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 открытого текста, Ki — i-й символ ключа, i = 1, m. Размерности</w:t>
      </w:r>
      <w:r>
        <w:rPr>
          <w:iCs/>
          <w:i/>
        </w:rPr>
        <w:t xml:space="preserve"> </w:t>
      </w:r>
      <w:r>
        <w:rPr>
          <w:iCs/>
          <w:i/>
        </w:rPr>
        <w:t xml:space="preserve">открытого текста и ключа должны совпадать, и полученный шифротекст</w:t>
      </w:r>
      <w:r>
        <w:rPr>
          <w:iCs/>
          <w:i/>
        </w:rPr>
        <w:t xml:space="preserve"> </w:t>
      </w:r>
      <w:r>
        <w:rPr>
          <w:iCs/>
          <w:i/>
        </w:rPr>
        <w:t xml:space="preserve">будет такой же длины.</w:t>
      </w:r>
    </w:p>
    <w:p>
      <w:pPr>
        <w:pStyle w:val="BodyText"/>
      </w:pPr>
      <w:r>
        <w:t xml:space="preserve">Если известны шифротекст и открытый текст, то задача нахождения</w:t>
      </w:r>
      <w:r>
        <w:t xml:space="preserve"> </w:t>
      </w:r>
      <w:r>
        <w:t xml:space="preserve">ключа решается также в соответствии с (7.1), а именно, обе части равенства необходимо сложить по модулю 2 с Pi:</w:t>
      </w:r>
    </w:p>
    <w:p>
      <w:pPr>
        <w:pStyle w:val="BodyText"/>
      </w:pPr>
      <w:r>
        <w:rPr>
          <w:rStyle w:val="VerbatimChar"/>
        </w:rPr>
        <w:t xml:space="preserve">Ci ⊕ Pi = Pi ⊕ Ki ⊕ Pi = Ki</w:t>
      </w:r>
      <w:r>
        <w:t xml:space="preserve">,</w:t>
      </w:r>
    </w:p>
    <w:p>
      <w:pPr>
        <w:pStyle w:val="BodyText"/>
      </w:pPr>
      <w:r>
        <w:rPr>
          <w:rStyle w:val="VerbatimChar"/>
        </w:rPr>
        <w:t xml:space="preserve">Ki = Ci ⊕ Pi</w:t>
      </w:r>
      <w:r>
        <w:t xml:space="preserve">.</w:t>
      </w:r>
    </w:p>
    <w:p>
      <w:pPr>
        <w:pStyle w:val="BodyText"/>
      </w:pPr>
      <w:r>
        <w:t xml:space="preserve">Открытый текст имеет символьный вид, а ключ — шестнадцатеричное</w:t>
      </w:r>
      <w:r>
        <w:t xml:space="preserve"> </w:t>
      </w:r>
      <w:r>
        <w:t xml:space="preserve">представление. Ключ также можно представить в символьном виде, воспользовавшись таблицей ASCII-кодов.</w:t>
      </w:r>
    </w:p>
    <w:p>
      <w:pPr>
        <w:pStyle w:val="BodyText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</w:t>
      </w:r>
      <w:r>
        <w:t xml:space="preserve"> </w:t>
      </w:r>
      <w:r>
        <w:t xml:space="preserve">является фрагментом истинно случайной двоичной последовательности с</w:t>
      </w:r>
      <w:r>
        <w:t xml:space="preserve"> </w:t>
      </w:r>
      <w:r>
        <w:t xml:space="preserve">равномерным законом распределения. Криптоалгоритм не даёт никакой информации об открытом тексте: при известном зашифрованном сообщении</w:t>
      </w:r>
      <w:r>
        <w:t xml:space="preserve"> </w:t>
      </w:r>
      <w:r>
        <w:t xml:space="preserve">C все различные ключевые последовательности K возможны и равновероятны, а значит, возможны и любые сообщения P.</w:t>
      </w:r>
    </w:p>
    <w:p>
      <w:pPr>
        <w:pStyle w:val="BodyText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01"/>
        </w:numPr>
      </w:pPr>
      <w:r>
        <w:t xml:space="preserve">полная случайность ключа;</w:t>
      </w:r>
    </w:p>
    <w:p>
      <w:pPr>
        <w:numPr>
          <w:ilvl w:val="0"/>
          <w:numId w:val="1001"/>
        </w:numPr>
      </w:pPr>
      <w:r>
        <w:t xml:space="preserve">равенство длин ключа и открытого текста;</w:t>
      </w:r>
    </w:p>
    <w:p>
      <w:pPr>
        <w:numPr>
          <w:ilvl w:val="0"/>
          <w:numId w:val="1001"/>
        </w:numPr>
      </w:pPr>
      <w:r>
        <w:t xml:space="preserve">однократное использование ключа.</w:t>
      </w:r>
    </w:p>
    <w:p>
      <w:pPr>
        <w:pStyle w:val="FirstParagraph"/>
      </w:pPr>
      <w:r>
        <w:t xml:space="preserve">Рассмотрим пример.</w:t>
      </w:r>
    </w:p>
    <w:p>
      <w:pPr>
        <w:pStyle w:val="BodyText"/>
      </w:pPr>
      <w:r>
        <w:t xml:space="preserve">Ключ Центра:</w:t>
      </w:r>
    </w:p>
    <w:p>
      <w:pPr>
        <w:pStyle w:val="BodyText"/>
      </w:pPr>
      <w:r>
        <w:rPr>
          <w:rStyle w:val="VerbatimChar"/>
        </w:rPr>
        <w:t xml:space="preserve">05 0C 17 7F 0E 4E 37 D2 94 10 09 2E 22 57 FF C8 0B B2 70 54</w:t>
      </w:r>
    </w:p>
    <w:p>
      <w:pPr>
        <w:pStyle w:val="BodyText"/>
      </w:pPr>
      <w:r>
        <w:t xml:space="preserve">Сообщение Центра:</w:t>
      </w:r>
    </w:p>
    <w:p>
      <w:pPr>
        <w:pStyle w:val="BodyText"/>
      </w:pPr>
      <w:r>
        <w:rPr>
          <w:iCs/>
          <w:i/>
        </w:rPr>
        <w:t xml:space="preserve">Штирлиц – Вы Герой!!</w:t>
      </w:r>
    </w:p>
    <w:p>
      <w:pPr>
        <w:pStyle w:val="BodyText"/>
      </w:pPr>
      <w:r>
        <w:rPr>
          <w:rStyle w:val="VerbatimChar"/>
        </w:rPr>
        <w:t xml:space="preserve">D8 F2 E8 F0 EB E8 F6 20 2D 20 C2 FB 20 C3 E5 F0 EE E9 21 21</w:t>
      </w:r>
    </w:p>
    <w:p>
      <w:pPr>
        <w:pStyle w:val="BodyText"/>
      </w:pPr>
      <w:r>
        <w:t xml:space="preserve">Зашифрованный текст, находящийся у Мюллера:</w:t>
      </w:r>
    </w:p>
    <w:p>
      <w:pPr>
        <w:pStyle w:val="BodyText"/>
      </w:pPr>
      <w:r>
        <w:rPr>
          <w:rStyle w:val="VerbatimChar"/>
        </w:rPr>
        <w:t xml:space="preserve">DD FE FF 8F E5 A6 C1 F2 B9 30 CB D5 02 94 1A 38 E5 5B 51 75</w:t>
      </w:r>
    </w:p>
    <w:p>
      <w:pPr>
        <w:pStyle w:val="BodyText"/>
      </w:pPr>
      <w:r>
        <w:t xml:space="preserve">Дешифровальщики попробовали ключ:</w:t>
      </w:r>
    </w:p>
    <w:p>
      <w:pPr>
        <w:pStyle w:val="BodyText"/>
      </w:pPr>
      <w:r>
        <w:rPr>
          <w:rStyle w:val="VerbatimChar"/>
        </w:rPr>
        <w:t xml:space="preserve">05 0C 17 7F 0E 4E 37 D2 94 10 09 2E 22 55 F4 D3 07 BB BC 54</w:t>
      </w:r>
    </w:p>
    <w:p>
      <w:pPr>
        <w:pStyle w:val="BodyText"/>
      </w:pPr>
      <w:r>
        <w:t xml:space="preserve">и получили текст:</w:t>
      </w:r>
    </w:p>
    <w:p>
      <w:pPr>
        <w:pStyle w:val="BodyText"/>
      </w:pPr>
      <w:r>
        <w:rPr>
          <w:rStyle w:val="VerbatimChar"/>
        </w:rPr>
        <w:t xml:space="preserve">D8 F2 E8 F0 EB E8 F6 20 2D 20 C2 FB 20 C1 EE EB E2 E0 ED 21</w:t>
      </w:r>
    </w:p>
    <w:p>
      <w:pPr>
        <w:pStyle w:val="BodyText"/>
      </w:pPr>
      <w:r>
        <w:rPr>
          <w:iCs/>
          <w:i/>
        </w:rPr>
        <w:t xml:space="preserve">Штирлиц - Вы Болван!</w:t>
      </w:r>
    </w:p>
    <w:p>
      <w:pPr>
        <w:pStyle w:val="BodyText"/>
      </w:pPr>
      <w:r>
        <w:t xml:space="preserve">Другие ключи дадут лишь новые фразы, пословицы, стихотворные</w:t>
      </w:r>
      <w:r>
        <w:t xml:space="preserve"> </w:t>
      </w:r>
      <w:r>
        <w:t xml:space="preserve">строфы, словом, всевозможные тексты заданной длины.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2"/>
        </w:numPr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2"/>
        </w:numPr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</w:t>
      </w:r>
    </w:p>
    <w:p>
      <w:pPr>
        <w:pStyle w:val="FirstParagraph"/>
      </w:pPr>
      <w:r>
        <w:t xml:space="preserve">Для решения задачи написан программный код:</w:t>
      </w:r>
    </w:p>
    <w:p>
      <w:pPr>
        <w:pStyle w:val="CaptionedFigure"/>
      </w:pPr>
      <w:r>
        <w:drawing>
          <wp:inline>
            <wp:extent cx="3733800" cy="4418900"/>
            <wp:effectExtent b="0" l="0" r="0" t="0"/>
            <wp:docPr descr="(рис. 1. Программный код приложения, реализующего режим однократного гаммирования)" title="fig:" id="23" name="Picture"/>
            <a:graphic>
              <a:graphicData uri="http://schemas.openxmlformats.org/drawingml/2006/picture">
                <pic:pic>
                  <pic:nvPicPr>
                    <pic:cNvPr descr="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Программный код приложения, реализующего режим однократного гаммирования)</w:t>
      </w:r>
    </w:p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было освоено на практике применение режима однократного гаммирования.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Сагдеров Камал, НФИбд-04-22</dc:creator>
  <dc:language>ru-RU</dc:language>
  <cp:keywords/>
  <dcterms:created xsi:type="dcterms:W3CDTF">2024-05-11T14:41:27Z</dcterms:created>
  <dcterms:modified xsi:type="dcterms:W3CDTF">2024-05-11T14:41:27Z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