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8153sk9uvud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Slide 1: Tabular Foundation Models — What, Why, and Where</w:t>
      </w:r>
    </w:p>
    <w:p w:rsidR="00000000" w:rsidDel="00000000" w:rsidP="00000000" w:rsidRDefault="00000000" w:rsidRPr="00000000" w14:paraId="00000002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What Are They? (2-3 bullet header)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 new class of pre-trained AI models purpose-built for structured/tabular data (the kind banks run on — transactions, credit files, customer records)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Unlike traditional ML (XGBoost, LightGBM) which requires building a new model from scratch per use case, these models come pre-trained and adapt to new tasks with minimal setup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Two emerging approaches in the industry: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Mastercard's Large Tabular Model (LTM)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trained on billions of anonymized card transactions; learns patterns across payment events, fraud incidents, chargebacks, and merchant data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ind w:left="144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PriorLabs' TabPFN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trained on millions of synthetic datasets to learn a "universal prediction algorithm"; adapts to new problems via in-context learning (no retraining needed)</w:t>
      </w:r>
    </w:p>
    <w:p w:rsidR="00000000" w:rsidDel="00000000" w:rsidP="00000000" w:rsidRDefault="00000000" w:rsidRPr="00000000" w14:paraId="0000000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Key Benefits for Banking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2.4022878932317"/>
        <w:gridCol w:w="7557.597712106768"/>
        <w:tblGridChange w:id="0">
          <w:tblGrid>
            <w:gridCol w:w="1802.4022878932317"/>
            <w:gridCol w:w="7557.59771210676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What It Means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Faster time-to-model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Weeks of feature engineering and tuning reduced to hours — the model handles missing values, mixed data types, and feature discovery automatically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Superior small-data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Outperforms traditional ML when labeled data is scarce (fraud, AML, niche credit segments) — TabPFN showed ~3 AUC points over XGBoost on credit risk benchmarks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Better calibrated probabilities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Critical for pricing, provisioning, and capital reserves — delivers reliable probability estimates out of the box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Reduced false positives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Mastercard reports strongest gains on high-value, low-frequency transactions where traditional models over-flag</w:t>
            </w:r>
          </w:p>
        </w:tc>
      </w:tr>
    </w:tbl>
    <w:p w:rsidR="00000000" w:rsidDel="00000000" w:rsidP="00000000" w:rsidRDefault="00000000" w:rsidRPr="00000000" w14:paraId="00000013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Emerging Use Cases in Financial Services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3.753581661891"/>
        <w:gridCol w:w="5793.008595988539"/>
        <w:gridCol w:w="1153.2378223495703"/>
        <w:tblGridChange w:id="0">
          <w:tblGrid>
            <w:gridCol w:w="2413.753581661891"/>
            <w:gridCol w:w="5793.008595988539"/>
            <w:gridCol w:w="1153.2378223495703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Industry 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Maturity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Fraud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Mastercard LTM (production); Feedzai RiskFM with Lloyds Banking Group (26M customers)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Production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AML / Mule account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Feedzai RiskFM across $9T in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Early production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Credit risk (niche/thin-file segments)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Mission Lane benchmarked TabICL vs LightGBM; Taktile + PriorLabs partnership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Pilot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Customer risk segmentation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Nubank foundation models serving 100M+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Production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o9w49b0g64e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Slide 2: Validation &amp; MRM Considerations</w:t>
      </w:r>
    </w:p>
    <w:p w:rsidR="00000000" w:rsidDel="00000000" w:rsidP="00000000" w:rsidRDefault="00000000" w:rsidRPr="00000000" w14:paraId="00000025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Regulatory Context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revised interagency MRM guidance (OCC Bulletin 2026-13, April 2026) — which replaced SR 11-7 — explicitly scopes non-generative AI/ML models (including tabular foundation models) under full MRM requirements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These models would likely fall under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Tier-1 (material)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classification if used for credit decisioning or fraud, requiring full validation with dual control</w:t>
      </w:r>
    </w:p>
    <w:p w:rsidR="00000000" w:rsidDel="00000000" w:rsidP="00000000" w:rsidRDefault="00000000" w:rsidRPr="00000000" w14:paraId="0000002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Key Validation Dimensions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8.0305927342256"/>
        <w:gridCol w:w="3803.059273422562"/>
        <w:gridCol w:w="4348.910133843212"/>
        <w:tblGridChange w:id="0">
          <w:tblGrid>
            <w:gridCol w:w="1208.0305927342256"/>
            <w:gridCol w:w="3803.059273422562"/>
            <w:gridCol w:w="4348.910133843212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Dimension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Consideration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How It Differs from Traditional ML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Conceptual soundness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Must assess in-context learning mechanism — training data becomes part of inference input, not a separate training 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Fundamentally different from tree-based model training; requires understanding of Bayesian inference approximation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Benchmark vs incumbent models on bank-specific data; test calibration, subgroup fairness, and temporal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 hyperparameters to validate, but must validate that zero-tuning performance holds on our data distributions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SHAP values available for local explanations; global interpretability more challenging than tree-based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Tree splits are inherently interpretable; TFMs require post-hoc explanation methods — important for adverse action notices (CFPB/ECOA)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Models trained on real transactions (Mastercard, Feedzai) raise data governance questions; in-context learning exposes training data at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Traditional ML doesn't re-expose training data during scoring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Vendor / third-party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Reliance on external vendors (PriorLabs, Feedzai) creates concentration risk; GARP highlights correlated risk across institutions using same vendor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Open-source XGBoost/LightGBM carry no vendor dependency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Must track performance drift and data drift — especially since TFMs don't retrain but inference-time context data may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Traditional models have clear retrain cycles; TFMs require new monitoring paradigms</w:t>
            </w:r>
          </w:p>
        </w:tc>
      </w:tr>
    </w:tbl>
    <w:p w:rsidR="00000000" w:rsidDel="00000000" w:rsidP="00000000" w:rsidRDefault="00000000" w:rsidRPr="00000000" w14:paraId="0000003E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Known Limitations (Current State)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Scale ceiling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Most TFMs handle 50K–500K samples (vs millions for XGBoost) — insufficient for scoring large portfolios without sampling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Inference latency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40–10,000x slower than tree-based models — not viable for real-time decisioning at scale today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Production maturity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: Limited track record in regulated banking environments; tooling and deployment patterns still evolving</w:t>
      </w:r>
    </w:p>
    <w:p w:rsidR="00000000" w:rsidDel="00000000" w:rsidP="00000000" w:rsidRDefault="00000000" w:rsidRPr="00000000" w14:paraId="00000042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Pragmatic View for the Bank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TFMs are not a wholesale replacement for existing ML — they are a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complementary capability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best suited for sparse-data problems (fraud, AML, thin-file credit) where traditional models underperform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Mastercard themselves plan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hybrid systems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combining traditional ML with their LTM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Validation frameworks need to evolve to address in-context learning, vendor dependency, and new explainability paradigms — but the core MRM principles from the revised guidance apply directly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after="0" w:before="0" w:line="319.9992" w:lineRule="auto"/>
        <w:rPr>
          <w:rFonts w:ascii="Roboto" w:cs="Roboto" w:eastAsia="Roboto" w:hAnsi="Roboto"/>
          <w:sz w:val="36"/>
          <w:szCs w:val="36"/>
        </w:rPr>
      </w:pPr>
      <w:bookmarkStart w:colFirst="0" w:colLast="0" w:name="_hfclx4he4b3f" w:id="2"/>
      <w:bookmarkEnd w:id="2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Reading References for You</w:t>
      </w:r>
    </w:p>
    <w:p w:rsidR="00000000" w:rsidDel="00000000" w:rsidP="00000000" w:rsidRDefault="00000000" w:rsidRPr="00000000" w14:paraId="00000048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Must-reads (start here):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hyperlink r:id="rId6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Mastercard announcement — new GenAI model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Official overview of their LTM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hyperlink r:id="rId7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TabPFN Nature paper (2025)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The foundational academic paper; read the abstract and results sections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hyperlink r:id="rId8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PriorLabs Financial Services page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Their banking-specific positioning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  <w:rPr>
          <w:color w:val="000000"/>
        </w:rPr>
      </w:pPr>
      <w:hyperlink r:id="rId9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OCC Bulletin 2026-13 — Revised MRM Guidance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The new regulatory framework replacing SR 11-7</w:t>
      </w:r>
    </w:p>
    <w:p w:rsidR="00000000" w:rsidDel="00000000" w:rsidP="00000000" w:rsidRDefault="00000000" w:rsidRPr="00000000" w14:paraId="0000004D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Banking-specific deep dives: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5. </w:t>
      </w:r>
      <w:hyperlink r:id="rId10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Mission Lane: Benchmarking TabICL for Enterprise Credit Risk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Real bank benchmarking TFMs vs LightGBM</w:t>
        <w:br w:type="textWrapping"/>
        <w:t xml:space="preserve">6. </w:t>
      </w:r>
      <w:hyperlink r:id="rId11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Feedzai RiskFM press release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Foundation model deployed at Lloyds for fraud/AML</w:t>
        <w:br w:type="textWrapping"/>
        <w:t xml:space="preserve">7. </w:t>
      </w:r>
      <w:hyperlink r:id="rId12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Nubank: Foundation Models for Customer Understanding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100M+ customer production deployment</w:t>
        <w:br w:type="textWrapping"/>
        <w:t xml:space="preserve">8. </w:t>
      </w:r>
      <w:hyperlink r:id="rId13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Can a Foundation Model Replace XGBoost for Credit Risk?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Honest benchmark comparison</w:t>
      </w:r>
    </w:p>
    <w:p w:rsidR="00000000" w:rsidDel="00000000" w:rsidP="00000000" w:rsidRDefault="00000000" w:rsidRPr="00000000" w14:paraId="0000004E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MRM / Regulatory angle: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9. </w:t>
      </w:r>
      <w:hyperlink r:id="rId14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Databricks: Model Risk Management 2026 Banker's Guide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Practical guide to the revised guidance</w:t>
        <w:br w:type="textWrapping"/>
        <w:t xml:space="preserve">10. </w:t>
      </w:r>
      <w:hyperlink r:id="rId15">
        <w:r w:rsidDel="00000000" w:rsidR="00000000" w:rsidRPr="00000000">
          <w:rPr>
            <w:rFonts w:ascii="Roboto" w:cs="Roboto" w:eastAsia="Roboto" w:hAnsi="Roboto"/>
            <w:sz w:val="21"/>
            <w:szCs w:val="21"/>
            <w:rtl w:val="0"/>
          </w:rPr>
          <w:t xml:space="preserve">GARP: SR 11-7 in the Age of Agentic AI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— Vendor concentration risk and AI model governance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after="0" w:before="0" w:line="319.9992" w:lineRule="auto"/>
        <w:rPr>
          <w:rFonts w:ascii="Roboto" w:cs="Roboto" w:eastAsia="Roboto" w:hAnsi="Roboto"/>
          <w:color w:val="a6a59b"/>
          <w:sz w:val="36"/>
          <w:szCs w:val="36"/>
        </w:rPr>
      </w:pPr>
      <w:bookmarkStart w:colFirst="0" w:colLast="0" w:name="_j5du4g9gb54b" w:id="3"/>
      <w:bookmarkEnd w:id="3"/>
      <w:r w:rsidDel="00000000" w:rsidR="00000000" w:rsidRPr="00000000">
        <w:rPr>
          <w:rFonts w:ascii="Roboto" w:cs="Roboto" w:eastAsia="Roboto" w:hAnsi="Roboto"/>
          <w:color w:val="a6a59b"/>
          <w:sz w:val="36"/>
          <w:szCs w:val="36"/>
          <w:rtl w:val="0"/>
        </w:rPr>
        <w:t xml:space="preserve">SLIDE 1: Tabular Foundation Models — What They Are, Why They Matter, and Where They Apply</w:t>
      </w:r>
    </w:p>
    <w:p w:rsidR="00000000" w:rsidDel="00000000" w:rsidP="00000000" w:rsidRDefault="00000000" w:rsidRPr="00000000" w14:paraId="00000052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What's Changing?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Banks have always built custom models for each problem — one for fraud, another for credit risk, another for churn. Each takes weeks to build, tune, and validate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A new class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pre-trained models</w:t>
      </w: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 is emerging that are purpose-built for the kind of structured data banks already have (transactions, credit files, customer records)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These models come "ready to learn" — they can be pointed at a new problem and deliver strong results with significantly less setup time and data</w:t>
      </w:r>
    </w:p>
    <w:p w:rsidR="00000000" w:rsidDel="00000000" w:rsidP="00000000" w:rsidRDefault="00000000" w:rsidRPr="00000000" w14:paraId="00000056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Two Notable Industry Moves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7.163323782235"/>
        <w:gridCol w:w="1492.951289398281"/>
        <w:gridCol w:w="6999.885386819486"/>
        <w:tblGridChange w:id="0">
          <w:tblGrid>
            <w:gridCol w:w="867.163323782235"/>
            <w:gridCol w:w="1492.951289398281"/>
            <w:gridCol w:w="6999.88538681948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What They Built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How It Works (Simply)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Mastercard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Large Tabular Model (LTM)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Trained on billions of anonymized card transactions to recognize patterns across payments, fraud, chargebacks. Learns what "normal" and "abnormal" look like across the entire payment network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PriorLabs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TabPFN model family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Trained on millions of simulated datasets to learn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e2e1da"/>
                <w:sz w:val="21"/>
                <w:szCs w:val="21"/>
                <w:rtl w:val="0"/>
              </w:rPr>
              <w:t xml:space="preserve">how to learn</w:t>
            </w: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 from any structured data. Give it a new dataset and it makes predictions immediately — no custom model build required</w:t>
            </w:r>
          </w:p>
        </w:tc>
      </w:tr>
    </w:tbl>
    <w:p w:rsidR="00000000" w:rsidDel="00000000" w:rsidP="00000000" w:rsidRDefault="00000000" w:rsidRPr="00000000" w14:paraId="00000060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Why Should We Care?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5.1908396946565"/>
        <w:gridCol w:w="7564.8091603053435"/>
        <w:tblGridChange w:id="0">
          <w:tblGrid>
            <w:gridCol w:w="1795.1908396946565"/>
            <w:gridCol w:w="7564.809160305343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Plain-Language Impact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Faster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What currently takes weeks of model development could be reduced to hours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Stronger on sparse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Performs better when positive cases are rare (fraud, money laundering, thin-file credit) — exactly where our traditional models struggle most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Better risk estimates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Produces more reliable probability scores — directly impacts how accurately we provision, price, and allocate capital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Fewer false alarms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Mastercard reports the biggest gains on high-value, infrequent transactions where current models tend to over-flag legitimate customers</w:t>
            </w:r>
          </w:p>
        </w:tc>
      </w:tr>
    </w:tbl>
    <w:p w:rsidR="00000000" w:rsidDel="00000000" w:rsidP="00000000" w:rsidRDefault="00000000" w:rsidRPr="00000000" w14:paraId="0000006B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Where Is the Industry Using These?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3.0372492836677"/>
        <w:gridCol w:w="4604.011461318052"/>
        <w:gridCol w:w="1492.951289398281"/>
        <w:tblGridChange w:id="0">
          <w:tblGrid>
            <w:gridCol w:w="3263.0372492836677"/>
            <w:gridCol w:w="4604.011461318052"/>
            <w:gridCol w:w="1492.951289398281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Who's Doing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Status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Fraud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Mastercard (LTM); Feedzai with Lloyds Banking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In production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Money laundering / mule 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Feedzai across $9T in annual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Early production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Credit risk (thin-file / niche segments)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Mission Lane, Taktile + PriorLabs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Pilot stage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Customer risk profiling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Nubank — serving 100M+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In production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spacing w:after="0" w:before="0" w:line="319.9992" w:lineRule="auto"/>
        <w:rPr>
          <w:rFonts w:ascii="Roboto" w:cs="Roboto" w:eastAsia="Roboto" w:hAnsi="Roboto"/>
          <w:color w:val="a6a59b"/>
          <w:sz w:val="36"/>
          <w:szCs w:val="36"/>
        </w:rPr>
      </w:pPr>
      <w:bookmarkStart w:colFirst="0" w:colLast="0" w:name="_d8yv495t4tku" w:id="4"/>
      <w:bookmarkEnd w:id="4"/>
      <w:r w:rsidDel="00000000" w:rsidR="00000000" w:rsidRPr="00000000">
        <w:rPr>
          <w:rFonts w:ascii="Roboto" w:cs="Roboto" w:eastAsia="Roboto" w:hAnsi="Roboto"/>
          <w:color w:val="a6a59b"/>
          <w:sz w:val="36"/>
          <w:szCs w:val="36"/>
          <w:rtl w:val="0"/>
        </w:rPr>
        <w:t xml:space="preserve">SLIDE 2: What This Means for Validation &amp; Model Risk Management</w:t>
      </w:r>
    </w:p>
    <w:p w:rsidR="00000000" w:rsidDel="00000000" w:rsidP="00000000" w:rsidRDefault="00000000" w:rsidRPr="00000000" w14:paraId="0000007D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Where Do These Fit Regulatorily?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The revised interagency MRM guidance (April 2026, replacing SR 11-7) keeps these models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fully in scope</w:t>
      </w: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 — they are not generative AI, so the carve-out for GenAI does not apply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If used for credit or fraud decisions, they would likely be classified as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high-materiality models</w:t>
      </w: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 requiring full validation</w:t>
      </w:r>
    </w:p>
    <w:p w:rsidR="00000000" w:rsidDel="00000000" w:rsidP="00000000" w:rsidRDefault="00000000" w:rsidRPr="00000000" w14:paraId="00000080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What's Different When We Validate These?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9.6377502383223"/>
        <w:gridCol w:w="7700.362249761678"/>
        <w:tblGridChange w:id="0">
          <w:tblGrid>
            <w:gridCol w:w="1659.6377502383223"/>
            <w:gridCol w:w="7700.36224976167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What We'd Assess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What Changes vs. Today's Models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How the model learns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These models don't train on our data in the traditional sense — they arrive pre-trained and adapt on the fly. We'd need to understand and document this new learning mechanism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Performance 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Must prove they match or beat our existing models on </w:t>
            </w:r>
            <w:r w:rsidDel="00000000" w:rsidR="00000000" w:rsidRPr="00000000">
              <w:rPr>
                <w:rFonts w:ascii="Roboto" w:cs="Roboto" w:eastAsia="Roboto" w:hAnsi="Roboto"/>
                <w:i w:val="1"/>
                <w:iCs w:val="1"/>
                <w:color w:val="e2e1da"/>
                <w:sz w:val="21"/>
                <w:szCs w:val="21"/>
                <w:rtl w:val="0"/>
              </w:rPr>
              <w:t xml:space="preserve">our</w:t>
            </w: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 data, across customer segments, and over time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Traditional models (decision trees, gradient boosting) are relatively transparent. These models are less so — explanation methods exist but require more effort, especially for adverse action notices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Data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Some models (Mastercard, Feedzai) are trained on real transaction data from multiple institutions. We'd need to assess data governance, consent, and privacy implications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Vendor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Unlike open-source tools we control today, these often come from third-party vendors — creating concentration risk if multiple banks rely on the same provider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e2e1da"/>
                <w:sz w:val="21"/>
                <w:szCs w:val="21"/>
                <w:rtl w:val="0"/>
              </w:rPr>
              <w:t xml:space="preserve">Ongoing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  <w:color w:val="e2e1d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e2e1da"/>
                <w:sz w:val="21"/>
                <w:szCs w:val="21"/>
                <w:rtl w:val="0"/>
              </w:rPr>
              <w:t xml:space="preserve">These models don't get "retrained" in the traditional cycle. We'd need new approaches to detect when performance degrades as market conditions shift</w:t>
            </w:r>
          </w:p>
        </w:tc>
      </w:tr>
    </w:tbl>
    <w:p w:rsidR="00000000" w:rsidDel="00000000" w:rsidP="00000000" w:rsidRDefault="00000000" w:rsidRPr="00000000" w14:paraId="0000008F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What's Not Ready Yet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Most models top out at moderate data volumes — not yet viable for scoring our largest portfolios without sampling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Significantly slower at scoring time than current models — not suitable for real-time, high-volume decisioning today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Limited production track record in regulated banking — tooling and best practices are still maturing</w:t>
      </w:r>
    </w:p>
    <w:p w:rsidR="00000000" w:rsidDel="00000000" w:rsidP="00000000" w:rsidRDefault="00000000" w:rsidRPr="00000000" w14:paraId="00000093">
      <w:p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rPr>
          <w:rFonts w:ascii="Roboto" w:cs="Roboto" w:eastAsia="Roboto" w:hAnsi="Roboto"/>
          <w:b w:val="1"/>
          <w:bCs w:val="1"/>
          <w:color w:val="e2e1d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Bottom Line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These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not a replacement</w:t>
      </w: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 for our current model stack — Mastercard themselves plan to run these alongside traditional models, not instead of them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They are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e2e1da"/>
          <w:sz w:val="21"/>
          <w:szCs w:val="21"/>
          <w:rtl w:val="0"/>
        </w:rPr>
        <w:t xml:space="preserve">strategic capability</w:t>
      </w: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 for problems where data is scarce and current models underperform — fraud, AML, thin-file credit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color="e2e1da" w:space="0" w:sz="0" w:val="none"/>
          <w:left w:color="e2e1da" w:space="0" w:sz="0" w:val="none"/>
          <w:bottom w:color="e2e1da" w:space="0" w:sz="0" w:val="none"/>
          <w:right w:color="e2e1da" w:space="0" w:sz="0" w:val="none"/>
          <w:between w:color="e2e1da" w:space="0" w:sz="0" w:val="none"/>
        </w:pBdr>
        <w:shd w:fill="1f1f1e" w:val="clear"/>
        <w:ind w:left="720" w:hanging="360"/>
      </w:pPr>
      <w:r w:rsidDel="00000000" w:rsidR="00000000" w:rsidRPr="00000000">
        <w:rPr>
          <w:rFonts w:ascii="Roboto" w:cs="Roboto" w:eastAsia="Roboto" w:hAnsi="Roboto"/>
          <w:color w:val="e2e1da"/>
          <w:sz w:val="21"/>
          <w:szCs w:val="21"/>
          <w:rtl w:val="0"/>
        </w:rPr>
        <w:t xml:space="preserve">Our validation frameworks can accommodate these with targeted enhancements — the core MRM principles apply, but we need to evolve our approach on explainability, vendor risk, and monitoring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2e1d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eedzai.com/pressrelease/riskfm-ai-risk-model/" TargetMode="External"/><Relationship Id="rId10" Type="http://schemas.openxmlformats.org/officeDocument/2006/relationships/hyperlink" Target="https://medium.com/mission-lane-tech-blog/tabicl-under-the-microscope-benchmarking-tabular-foundation-models-for-enterprise-credit-risk-ad8315f9bec4" TargetMode="External"/><Relationship Id="rId13" Type="http://schemas.openxmlformats.org/officeDocument/2006/relationships/hyperlink" Target="https://gradientkangaroo.com/writing/trees-vs-tabfn" TargetMode="External"/><Relationship Id="rId12" Type="http://schemas.openxmlformats.org/officeDocument/2006/relationships/hyperlink" Target="https://building.nubank.com/understanding-our-customers-finances-through-foundation-model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occ.treas.gov/news-issuances/bulletins/2026/bulletin-2026-13.html" TargetMode="External"/><Relationship Id="rId15" Type="http://schemas.openxmlformats.org/officeDocument/2006/relationships/hyperlink" Target="https://www.garp.org/risk-intelligence/operational/sr-11-7-age-agentic-ai-260227" TargetMode="External"/><Relationship Id="rId14" Type="http://schemas.openxmlformats.org/officeDocument/2006/relationships/hyperlink" Target="https://www.databricks.com/blog/model-risk-management-2026-bankers-guide-revised-interagency-guid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stercard.com/us/en/news-and-trends/stories/2026/mastercard-new-generative-ai-model.html" TargetMode="External"/><Relationship Id="rId7" Type="http://schemas.openxmlformats.org/officeDocument/2006/relationships/hyperlink" Target="https://www.nature.com/articles/s41586-024-08328-6" TargetMode="External"/><Relationship Id="rId8" Type="http://schemas.openxmlformats.org/officeDocument/2006/relationships/hyperlink" Target="https://priorlabs.ai/industries/financ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