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SIMATS ENGINEERING</w:t>
      </w:r>
    </w:p>
    <w:p>
      <w:pPr>
        <w:spacing w:after="200"/>
        <w:jc w:val="center"/>
      </w:pPr>
      <w:r>
        <w:rPr>
          <w:rFonts w:ascii="Calibri" w:cs="Calibri" w:eastAsia="Calibri" w:hAnsi="Calibri"/>
          <w:sz w:val="20"/>
          <w:szCs w:val="20"/>
        </w:rPr>
        <w:t xml:space="preserve">Saveetha Institute of Medical And Technical Sciences</w:t>
      </w:r>
    </w:p>
    <w:p>
      <w:pPr>
        <w:shd w:fill="404040" w:color="auto" w:val="clear"/>
        <w:spacing w:after="60"/>
        <w:jc w:val="center"/>
      </w:pPr>
      <w:r>
        <w:rPr>
          <w:rFonts w:ascii="Calibri" w:cs="Calibri" w:eastAsia="Calibri" w:hAnsi="Calibri"/>
          <w:b/>
          <w:bCs/>
          <w:color w:val="FFFFFF"/>
          <w:sz w:val="28"/>
          <w:szCs w:val="28"/>
        </w:rPr>
        <w:t xml:space="preserve">CO2 - ASSESSMENT 2</w:t>
      </w:r>
    </w:p>
    <w:p>
      <w:pPr>
        <w:spacing w:after="200"/>
        <w:jc w:val="center"/>
      </w:pPr>
      <w:r>
        <w:rPr>
          <w:rFonts w:ascii="Calibri" w:cs="Calibri" w:eastAsia="Calibri" w:hAnsi="Calibri"/>
          <w:b/>
          <w:bCs/>
          <w:sz w:val="28"/>
          <w:szCs w:val="28"/>
          <w:u w:val="single"/>
        </w:rPr>
        <w:t xml:space="preserve">SOCIAL ENGINEERING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
        <w:gridCol w:w="6360"/>
      </w:tblGrid>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Course Faculty</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Dr. K. Anbazhagan</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Course Name</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Ethical Hacking</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Course Code</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ITA1406</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Slot</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Slot B</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Total Marks</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100</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i/>
          <w:iCs/>
          <w:sz w:val="22"/>
          <w:szCs w:val="22"/>
        </w:rPr>
        <w:t xml:space="preserve">CO2: </w:t>
      </w:r>
      <w:r>
        <w:rPr>
          <w:rFonts w:ascii="Calibri" w:cs="Calibri" w:eastAsia="Calibri" w:hAnsi="Calibri"/>
          <w:i/>
          <w:iCs/>
          <w:sz w:val="22"/>
          <w:szCs w:val="22"/>
        </w:rPr>
        <w:t xml:space="preserve">Foot printing Tools: Conducting Competitive Intelligence, DNS Zone Transfers, Introduction to Social Engineering: Social Engineering Attacks and Countermeasures. (BT3)</w:t>
      </w:r>
    </w:p>
    <w:p>
      <w:pPr>
        <w:pStyle w:val="Heading2"/>
        <w:spacing w:after="100" w:before="200"/>
      </w:pPr>
      <w:r>
        <w:rPr>
          <w:rFonts w:ascii="Calibri" w:cs="Calibri" w:eastAsia="Calibri" w:hAnsi="Calibri"/>
          <w:b/>
          <w:bCs/>
          <w:color w:val="2E5597"/>
          <w:sz w:val="24"/>
          <w:szCs w:val="24"/>
        </w:rPr>
        <w:t xml:space="preserve">Code of Conduct</w:t>
      </w:r>
    </w:p>
    <w:p>
      <w:pPr>
        <w:spacing w:after="120"/>
      </w:pPr>
      <w:r>
        <w:rPr>
          <w:rFonts w:ascii="Calibri" w:cs="Calibri" w:eastAsia="Calibri" w:hAnsi="Calibri"/>
          <w:i/>
          <w:iCs/>
          <w:sz w:val="22"/>
          <w:szCs w:val="22"/>
        </w:rPr>
        <w:t xml:space="preserve">I, </w:t>
      </w:r>
      <w:r>
        <w:rPr>
          <w:rFonts w:ascii="Calibri" w:cs="Calibri" w:eastAsia="Calibri" w:hAnsi="Calibri"/>
          <w:b/>
          <w:bCs/>
          <w:i/>
          <w:iCs/>
          <w:sz w:val="22"/>
          <w:szCs w:val="22"/>
          <w:u w:val="single"/>
        </w:rPr>
        <w:t xml:space="preserve">Kamalesh M (192421438)</w:t>
      </w:r>
      <w:r>
        <w:rPr>
          <w:rFonts w:ascii="Calibri" w:cs="Calibri" w:eastAsia="Calibri" w:hAnsi="Calibri"/>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240"/>
      </w:pPr>
      <w:r>
        <w:rPr>
          <w:rFonts w:ascii="Calibri" w:cs="Calibri" w:eastAsia="Calibri" w:hAnsi="Calibri"/>
          <w:sz w:val="22"/>
          <w:szCs w:val="22"/>
        </w:rPr>
        <w:t xml:space="preserve"/>
      </w:r>
    </w:p>
    <w:p>
      <w:pPr>
        <w:spacing w:after="20"/>
      </w:pPr>
      <w:r>
        <w:rPr>
          <w:rFonts w:ascii="Calibri" w:cs="Calibri" w:eastAsia="Calibri" w:hAnsi="Calibri"/>
          <w:sz w:val="22"/>
          <w:szCs w:val="22"/>
        </w:rPr>
        <w:t xml:space="preserve">______________________________</w:t>
      </w:r>
    </w:p>
    <w:p>
      <w:pPr>
        <w:spacing w:after="120"/>
      </w:pPr>
      <w:r>
        <w:rPr>
          <w:rFonts w:ascii="Calibri" w:cs="Calibri" w:eastAsia="Calibri" w:hAnsi="Calibri"/>
          <w:b/>
          <w:bCs/>
          <w:i/>
          <w:iCs/>
          <w:sz w:val="22"/>
          <w:szCs w:val="22"/>
        </w:rPr>
        <w:t xml:space="preserve">Signature of the student</w:t>
      </w:r>
    </w:p>
    <w:p>
      <w:pPr>
        <w:spacing w:after="200"/>
      </w:pPr>
      <w:r>
        <w:rPr>
          <w:rFonts w:ascii="Calibri" w:cs="Calibri" w:eastAsia="Calibri" w:hAnsi="Calibri"/>
          <w:sz w:val="22"/>
          <w:szCs w:val="22"/>
        </w:rPr>
        <w:t xml:space="preserve">Kamalesh M (192421438)</w:t>
      </w:r>
    </w:p>
    <w:p>
      <w:pPr>
        <w:pStyle w:val="Heading1"/>
        <w:spacing w:after="120" w:before="280"/>
      </w:pPr>
      <w:r>
        <w:rPr>
          <w:rFonts w:ascii="Calibri" w:cs="Calibri" w:eastAsia="Calibri" w:hAnsi="Calibri"/>
          <w:b/>
          <w:bCs/>
          <w:color w:val="1F3864"/>
          <w:sz w:val="28"/>
          <w:szCs w:val="28"/>
        </w:rPr>
        <w:t xml:space="preserve">1. Student and Target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Item</w:t>
            </w:r>
          </w:p>
        </w:tc>
        <w:tc>
          <w:tcPr>
            <w:tcW w:type="dxa" w:w="63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Detail</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Student Name</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Kamalesh M</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Register Number</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192421438</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Assigned Website (S.No. 21)</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www.tcs.com (Tata Consultancy Services)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Date of assessment</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26 October 2026</w:t>
            </w:r>
          </w:p>
        </w:tc>
      </w:tr>
    </w:tbl>
    <w:p>
      <w:pPr>
        <w:pStyle w:val="Heading1"/>
        <w:spacing w:after="120" w:before="280"/>
      </w:pPr>
      <w:r>
        <w:rPr>
          <w:rFonts w:ascii="Calibri" w:cs="Calibri" w:eastAsia="Calibri" w:hAnsi="Calibri"/>
          <w:b/>
          <w:bCs/>
          <w:color w:val="1F3864"/>
          <w:sz w:val="28"/>
          <w:szCs w:val="28"/>
        </w:rPr>
        <w:t xml:space="preserve">2. Scope and Method</w:t>
      </w:r>
    </w:p>
    <w:p>
      <w:pPr>
        <w:spacing w:after="120"/>
      </w:pPr>
      <w:r>
        <w:rPr>
          <w:rFonts w:ascii="Calibri" w:cs="Calibri" w:eastAsia="Calibri" w:hAnsi="Calibri"/>
          <w:sz w:val="22"/>
          <w:szCs w:val="22"/>
        </w:rPr>
        <w:t xml:space="preserve">This exercise is passive footprinting only. Every finding comes from public search results; no scanning, login attempts, form submissions or any direct interaction with the target systems was performed. Seven search-operator queries (Google dorks) were applied with tcs.com as the target domain.</w:t>
      </w:r>
    </w:p>
    <w:p>
      <w:pPr>
        <w:spacing w:after="120"/>
      </w:pPr>
      <w:r>
        <w:rPr>
          <w:rFonts w:ascii="Calibri" w:cs="Calibri" w:eastAsia="Calibri" w:hAnsi="Calibri"/>
          <w:i/>
          <w:iCs/>
          <w:sz w:val="22"/>
          <w:szCs w:val="22"/>
        </w:rPr>
        <w:t xml:space="preserve">Note on counts: the counts below are the items returned for each query in the search run on 26 October 2026. A live Google run can return more or different results because the index changes continuously. Items are counted only when hosted on a tcs.com host; third-party mirrors (Scribd, SlideShare, BSE/NSE filings, forums) are listed separately and not counted.</w:t>
      </w:r>
    </w:p>
    <w:p>
      <w:pPr>
        <w:pStyle w:val="Heading1"/>
        <w:spacing w:after="120" w:before="280"/>
      </w:pPr>
      <w:r>
        <w:rPr>
          <w:rFonts w:ascii="Calibri" w:cs="Calibri" w:eastAsia="Calibri" w:hAnsi="Calibri"/>
          <w:b/>
          <w:bCs/>
          <w:color w:val="1F3864"/>
          <w:sz w:val="28"/>
          <w:szCs w:val="28"/>
        </w:rPr>
        <w:t xml:space="preserve">3.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Particular</w:t>
            </w:r>
          </w:p>
        </w:tc>
        <w:tc>
          <w:tcPr>
            <w:tcW w:type="dxa" w:w="4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Search query used</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Count (on tcs.com)</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PDF Files</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filetype:pdf</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PPT Files</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filetype:ppt OR filetype:pptx</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0</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DOC Files</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filetype:doc OR filetype:docx</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0</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Login Pages</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intitle:login</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3 (subdomain portals referenced; none indexed with "login" in the title)</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Admin Pages</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inurl:admin</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0</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Contact Page</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"contact"</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6</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Privacy Policy</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site:tcs.com "privacy policy"</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15</w:t>
            </w:r>
          </w:p>
        </w:tc>
      </w:tr>
    </w:tbl>
    <w:p>
      <w:pPr>
        <w:pStyle w:val="Heading1"/>
        <w:spacing w:after="120" w:before="280"/>
      </w:pPr>
      <w:r>
        <w:rPr>
          <w:rFonts w:ascii="Calibri" w:cs="Calibri" w:eastAsia="Calibri" w:hAnsi="Calibri"/>
          <w:b/>
          <w:bCs/>
          <w:color w:val="1F3864"/>
          <w:sz w:val="28"/>
          <w:szCs w:val="28"/>
        </w:rPr>
        <w:t xml:space="preserve">4. Detailed Results (Links Listed One by One)</w:t>
      </w:r>
    </w:p>
    <w:p>
      <w:pPr>
        <w:pStyle w:val="Heading2"/>
        <w:spacing w:after="100" w:before="200"/>
      </w:pPr>
      <w:r>
        <w:rPr>
          <w:rFonts w:ascii="Calibri" w:cs="Calibri" w:eastAsia="Calibri" w:hAnsi="Calibri"/>
          <w:b/>
          <w:bCs/>
          <w:color w:val="2E5597"/>
          <w:sz w:val="24"/>
          <w:szCs w:val="24"/>
        </w:rPr>
        <w:t xml:space="preserve">4.1 PDF Files  -  site:tcs.com filetype:pdf  -  Count: 4</w:t>
      </w:r>
    </w:p>
    <w:p>
      <w:pPr>
        <w:pStyle w:val="ListParagraph"/>
        <w:numPr>
          <w:ilvl w:val="0"/>
          <w:numId w:val="2"/>
        </w:numPr>
        <w:spacing w:after="60"/>
      </w:pPr>
      <w:r>
        <w:rPr>
          <w:rFonts w:ascii="Calibri" w:cs="Calibri" w:eastAsia="Calibri" w:hAnsi="Calibri"/>
          <w:sz w:val="20"/>
          <w:szCs w:val="20"/>
        </w:rPr>
        <w:t xml:space="preserve">https://www.tcs.com/content/dam/tcs/pdf/discover-tcs/investor-relations/faq/stock-exchange-letter-for-submission-of-integrated-annual-report-2021-22.pdf</w:t>
      </w:r>
    </w:p>
    <w:p>
      <w:pPr>
        <w:pStyle w:val="ListParagraph"/>
        <w:numPr>
          <w:ilvl w:val="0"/>
          <w:numId w:val="2"/>
        </w:numPr>
        <w:spacing w:after="60"/>
      </w:pPr>
      <w:r>
        <w:rPr>
          <w:rFonts w:ascii="Calibri" w:cs="Calibri" w:eastAsia="Calibri" w:hAnsi="Calibri"/>
          <w:sz w:val="20"/>
          <w:szCs w:val="20"/>
        </w:rPr>
        <w:t xml:space="preserve">https://www.tcs.com/content/dam/tcs/pdf/discover-tcs/investor-relations/faq/annual-return-19-20.pdf</w:t>
      </w:r>
    </w:p>
    <w:p>
      <w:pPr>
        <w:pStyle w:val="ListParagraph"/>
        <w:numPr>
          <w:ilvl w:val="0"/>
          <w:numId w:val="2"/>
        </w:numPr>
        <w:spacing w:after="60"/>
      </w:pPr>
      <w:r>
        <w:rPr>
          <w:rFonts w:ascii="Calibri" w:cs="Calibri" w:eastAsia="Calibri" w:hAnsi="Calibri"/>
          <w:sz w:val="20"/>
          <w:szCs w:val="20"/>
        </w:rPr>
        <w:t xml:space="preserve">https://www.tcs.com/content/dam/global-tcs/en/pdfs/what-we-do/platforms/twinx/twinx-supply-chain.pdf</w:t>
      </w:r>
    </w:p>
    <w:p>
      <w:pPr>
        <w:pStyle w:val="ListParagraph"/>
        <w:numPr>
          <w:ilvl w:val="0"/>
          <w:numId w:val="2"/>
        </w:numPr>
        <w:spacing w:after="60"/>
      </w:pPr>
      <w:r>
        <w:rPr>
          <w:rFonts w:ascii="Calibri" w:cs="Calibri" w:eastAsia="Calibri" w:hAnsi="Calibri"/>
          <w:sz w:val="20"/>
          <w:szCs w:val="20"/>
        </w:rPr>
        <w:t xml:space="preserve">https://tcs.com/content/dam/global-tcs/en/pdfs/insights/whitepapers/banks-finance-business-continuity-resilience.pdf</w:t>
      </w:r>
    </w:p>
    <w:p>
      <w:pPr>
        <w:spacing w:after="120"/>
      </w:pPr>
      <w:r>
        <w:rPr>
          <w:rFonts w:ascii="Calibri" w:cs="Calibri" w:eastAsia="Calibri" w:hAnsi="Calibri"/>
          <w:i/>
          <w:iCs/>
          <w:sz w:val="20"/>
          <w:szCs w:val="20"/>
        </w:rPr>
        <w:t xml:space="preserve">Also returned but hosted off-domain (not counted): TCS press releases mirrored by stock exchanges.</w:t>
      </w:r>
    </w:p>
    <w:p>
      <w:pPr>
        <w:pStyle w:val="ListParagraph"/>
        <w:numPr>
          <w:ilvl w:val="0"/>
          <w:numId w:val="3"/>
        </w:numPr>
        <w:spacing w:after="60"/>
      </w:pPr>
      <w:r>
        <w:rPr>
          <w:rFonts w:ascii="Calibri" w:cs="Calibri" w:eastAsia="Calibri" w:hAnsi="Calibri"/>
          <w:sz w:val="21"/>
          <w:szCs w:val="21"/>
        </w:rPr>
        <w:t xml:space="preserve">https://www.bseindia.com/xml-data/corpfiling/AttachHis/ (multiple TCS press-release PDFs mirrored in BSE filings)</w:t>
      </w:r>
    </w:p>
    <w:p>
      <w:pPr>
        <w:pStyle w:val="ListParagraph"/>
        <w:numPr>
          <w:ilvl w:val="0"/>
          <w:numId w:val="3"/>
        </w:numPr>
        <w:spacing w:after="60"/>
      </w:pPr>
      <w:r>
        <w:rPr>
          <w:rFonts w:ascii="Calibri" w:cs="Calibri" w:eastAsia="Calibri" w:hAnsi="Calibri"/>
          <w:sz w:val="21"/>
          <w:szCs w:val="21"/>
        </w:rPr>
        <w:t xml:space="preserve">https://nsearchives.nseindia.com/corporate/ (multiple TCS press-release PDFs mirrored in NSE archives)</w:t>
      </w:r>
    </w:p>
    <w:p>
      <w:pPr>
        <w:pStyle w:val="Heading2"/>
        <w:spacing w:after="100" w:before="200"/>
      </w:pPr>
      <w:r>
        <w:rPr>
          <w:rFonts w:ascii="Calibri" w:cs="Calibri" w:eastAsia="Calibri" w:hAnsi="Calibri"/>
          <w:b/>
          <w:bCs/>
          <w:color w:val="2E5597"/>
          <w:sz w:val="24"/>
          <w:szCs w:val="24"/>
        </w:rPr>
        <w:t xml:space="preserve">4.2 PPT Files  -  site:tcs.com filetype:ppt OR filetype:pptx  -  Count: 0</w:t>
      </w:r>
    </w:p>
    <w:p>
      <w:pPr>
        <w:spacing w:after="120"/>
      </w:pPr>
      <w:r>
        <w:rPr>
          <w:rFonts w:ascii="Calibri" w:cs="Calibri" w:eastAsia="Calibri" w:hAnsi="Calibri"/>
          <w:sz w:val="22"/>
          <w:szCs w:val="22"/>
        </w:rPr>
        <w:t xml:space="preserve">No .ppt or .pptx file hosted on tcs.com was returned. The results were presentations about TCS uploaded by third parties (for example student decks on Scribd and SlideShare), which TCS does not control, plus regular tcs.com HTML pages that matched the keywords. This is a favourable result for the organisation.</w:t>
      </w:r>
    </w:p>
    <w:p>
      <w:pPr>
        <w:pStyle w:val="Heading2"/>
        <w:spacing w:after="100" w:before="200"/>
      </w:pPr>
      <w:r>
        <w:rPr>
          <w:rFonts w:ascii="Calibri" w:cs="Calibri" w:eastAsia="Calibri" w:hAnsi="Calibri"/>
          <w:b/>
          <w:bCs/>
          <w:color w:val="2E5597"/>
          <w:sz w:val="24"/>
          <w:szCs w:val="24"/>
        </w:rPr>
        <w:t xml:space="preserve">4.3 DOC Files  -  site:tcs.com filetype:doc OR filetype:docx  -  Count: 0</w:t>
      </w:r>
    </w:p>
    <w:p>
      <w:pPr>
        <w:spacing w:after="120"/>
      </w:pPr>
      <w:r>
        <w:rPr>
          <w:rFonts w:ascii="Calibri" w:cs="Calibri" w:eastAsia="Calibri" w:hAnsi="Calibri"/>
          <w:sz w:val="22"/>
          <w:szCs w:val="22"/>
        </w:rPr>
        <w:t xml:space="preserve">No .doc or .docx file hosted on tcs.com was returned. Matching results were third-party documents (student project reports on Scribd) and TCS filings and press-release PDFs mirrored on stock-exchange sites.</w:t>
      </w:r>
    </w:p>
    <w:p>
      <w:pPr>
        <w:pStyle w:val="Heading2"/>
        <w:spacing w:after="100" w:before="200"/>
      </w:pPr>
      <w:r>
        <w:rPr>
          <w:rFonts w:ascii="Calibri" w:cs="Calibri" w:eastAsia="Calibri" w:hAnsi="Calibri"/>
          <w:b/>
          <w:bCs/>
          <w:color w:val="2E5597"/>
          <w:sz w:val="24"/>
          <w:szCs w:val="24"/>
        </w:rPr>
        <w:t xml:space="preserve">4.4 Login Pages  -  site:tcs.com intitle:login  -  Count: 3</w:t>
      </w:r>
    </w:p>
    <w:p>
      <w:pPr>
        <w:spacing w:after="120"/>
      </w:pPr>
      <w:r>
        <w:rPr>
          <w:rFonts w:ascii="Calibri" w:cs="Calibri" w:eastAsia="Calibri" w:hAnsi="Calibri"/>
          <w:sz w:val="22"/>
          <w:szCs w:val="22"/>
        </w:rPr>
        <w:t xml:space="preserve">The query did not return any tcs.com page whose title contains "login". Login portals on tcs.com subdomains were nevertheless referenced repeatedly in the results:</w:t>
      </w:r>
    </w:p>
    <w:p>
      <w:pPr>
        <w:pStyle w:val="ListParagraph"/>
        <w:numPr>
          <w:ilvl w:val="0"/>
          <w:numId w:val="4"/>
        </w:numPr>
        <w:spacing w:after="60"/>
      </w:pPr>
      <w:r>
        <w:rPr>
          <w:rFonts w:ascii="Calibri" w:cs="Calibri" w:eastAsia="Calibri" w:hAnsi="Calibri"/>
          <w:sz w:val="20"/>
          <w:szCs w:val="20"/>
        </w:rPr>
        <w:t xml:space="preserve">https://nextstep.tcs.com/ (candidate/recruitment login portal)</w:t>
      </w:r>
    </w:p>
    <w:p>
      <w:pPr>
        <w:pStyle w:val="ListParagraph"/>
        <w:numPr>
          <w:ilvl w:val="0"/>
          <w:numId w:val="4"/>
        </w:numPr>
        <w:spacing w:after="60"/>
      </w:pPr>
      <w:r>
        <w:rPr>
          <w:rFonts w:ascii="Calibri" w:cs="Calibri" w:eastAsia="Calibri" w:hAnsi="Calibri"/>
          <w:sz w:val="20"/>
          <w:szCs w:val="20"/>
        </w:rPr>
        <w:t xml:space="preserve">https://nextstep.tcs.com/Registration.aspx (candidate registration page)</w:t>
      </w:r>
    </w:p>
    <w:p>
      <w:pPr>
        <w:pStyle w:val="ListParagraph"/>
        <w:numPr>
          <w:ilvl w:val="0"/>
          <w:numId w:val="4"/>
        </w:numPr>
        <w:spacing w:after="60"/>
      </w:pPr>
      <w:r>
        <w:rPr>
          <w:rFonts w:ascii="Calibri" w:cs="Calibri" w:eastAsia="Calibri" w:hAnsi="Calibri"/>
          <w:sz w:val="20"/>
          <w:szCs w:val="20"/>
        </w:rPr>
        <w:t xml:space="preserve">https://webmail.tcs.com (employee webmail login)</w:t>
      </w:r>
    </w:p>
    <w:p>
      <w:pPr>
        <w:spacing w:after="120"/>
      </w:pPr>
      <w:r>
        <w:rPr>
          <w:rFonts w:ascii="Calibri" w:cs="Calibri" w:eastAsia="Calibri" w:hAnsi="Calibri"/>
          <w:i/>
          <w:iCs/>
          <w:sz w:val="20"/>
          <w:szCs w:val="20"/>
        </w:rPr>
        <w:t xml:space="preserve">A related recruitment login on a different domain (ibegin.tcsapps.com) was also referenced but is outside tcs.com and not counted.</w:t>
      </w:r>
    </w:p>
    <w:p>
      <w:pPr>
        <w:pStyle w:val="Heading2"/>
        <w:spacing w:after="100" w:before="200"/>
      </w:pPr>
      <w:r>
        <w:rPr>
          <w:rFonts w:ascii="Calibri" w:cs="Calibri" w:eastAsia="Calibri" w:hAnsi="Calibri"/>
          <w:b/>
          <w:bCs/>
          <w:color w:val="2E5597"/>
          <w:sz w:val="24"/>
          <w:szCs w:val="24"/>
        </w:rPr>
        <w:t xml:space="preserve">4.5 Admin Pages  -  site:tcs.com inurl:admin  -  Count: 0</w:t>
      </w:r>
    </w:p>
    <w:p>
      <w:pPr>
        <w:spacing w:after="120"/>
      </w:pPr>
      <w:r>
        <w:rPr>
          <w:rFonts w:ascii="Calibri" w:cs="Calibri" w:eastAsia="Calibri" w:hAnsi="Calibri"/>
          <w:sz w:val="22"/>
          <w:szCs w:val="22"/>
        </w:rPr>
        <w:t xml:space="preserve">No admin panel or administrative URL on tcs.com was returned. The matches were false positives: Cisco TelePresence Content Server (also abbreviated "TCS") community threads, Tungsten Communication Server documentation, and job adverts for "Admin Officer" roles on job sites. No exposed administration interface is indexed for the domain.</w:t>
      </w:r>
    </w:p>
    <w:p>
      <w:pPr>
        <w:pStyle w:val="Heading2"/>
        <w:spacing w:after="100" w:before="200"/>
      </w:pPr>
      <w:r>
        <w:rPr>
          <w:rFonts w:ascii="Calibri" w:cs="Calibri" w:eastAsia="Calibri" w:hAnsi="Calibri"/>
          <w:b/>
          <w:bCs/>
          <w:color w:val="2E5597"/>
          <w:sz w:val="24"/>
          <w:szCs w:val="24"/>
        </w:rPr>
        <w:t xml:space="preserve">4.6 Contact Page  -  site:tcs.com "contact"  -  Count: 6</w:t>
      </w:r>
    </w:p>
    <w:p>
      <w:pPr>
        <w:pStyle w:val="ListParagraph"/>
        <w:numPr>
          <w:ilvl w:val="0"/>
          <w:numId w:val="5"/>
        </w:numPr>
        <w:spacing w:after="60"/>
      </w:pPr>
      <w:r>
        <w:rPr>
          <w:rFonts w:ascii="Calibri" w:cs="Calibri" w:eastAsia="Calibri" w:hAnsi="Calibri"/>
          <w:sz w:val="20"/>
          <w:szCs w:val="20"/>
        </w:rPr>
        <w:t xml:space="preserve">https://tcs.com/investor-relations/ir-contact-us</w:t>
      </w:r>
    </w:p>
    <w:p>
      <w:pPr>
        <w:pStyle w:val="ListParagraph"/>
        <w:numPr>
          <w:ilvl w:val="0"/>
          <w:numId w:val="5"/>
        </w:numPr>
        <w:spacing w:after="60"/>
      </w:pPr>
      <w:r>
        <w:rPr>
          <w:rFonts w:ascii="Calibri" w:cs="Calibri" w:eastAsia="Calibri" w:hAnsi="Calibri"/>
          <w:sz w:val="20"/>
          <w:szCs w:val="20"/>
        </w:rPr>
        <w:t xml:space="preserve">https://www.tcs.com/contact-us/summit</w:t>
      </w:r>
    </w:p>
    <w:p>
      <w:pPr>
        <w:pStyle w:val="ListParagraph"/>
        <w:numPr>
          <w:ilvl w:val="0"/>
          <w:numId w:val="5"/>
        </w:numPr>
        <w:spacing w:after="60"/>
      </w:pPr>
      <w:r>
        <w:rPr>
          <w:rFonts w:ascii="Calibri" w:cs="Calibri" w:eastAsia="Calibri" w:hAnsi="Calibri"/>
          <w:sz w:val="20"/>
          <w:szCs w:val="20"/>
        </w:rPr>
        <w:t xml:space="preserve">https://tcs.com/contact-us/summit-contact</w:t>
      </w:r>
    </w:p>
    <w:p>
      <w:pPr>
        <w:pStyle w:val="ListParagraph"/>
        <w:numPr>
          <w:ilvl w:val="0"/>
          <w:numId w:val="5"/>
        </w:numPr>
        <w:spacing w:after="60"/>
      </w:pPr>
      <w:r>
        <w:rPr>
          <w:rFonts w:ascii="Calibri" w:cs="Calibri" w:eastAsia="Calibri" w:hAnsi="Calibri"/>
          <w:sz w:val="20"/>
          <w:szCs w:val="20"/>
        </w:rPr>
        <w:t xml:space="preserve">https://www.tcs.com/cn-zh/contact-us</w:t>
      </w:r>
    </w:p>
    <w:p>
      <w:pPr>
        <w:pStyle w:val="ListParagraph"/>
        <w:numPr>
          <w:ilvl w:val="0"/>
          <w:numId w:val="5"/>
        </w:numPr>
        <w:spacing w:after="60"/>
      </w:pPr>
      <w:r>
        <w:rPr>
          <w:rFonts w:ascii="Calibri" w:cs="Calibri" w:eastAsia="Calibri" w:hAnsi="Calibri"/>
          <w:sz w:val="20"/>
          <w:szCs w:val="20"/>
        </w:rPr>
        <w:t xml:space="preserve">https://www.tcs.com/content/tcs/cn/zh/contact-us</w:t>
      </w:r>
    </w:p>
    <w:p>
      <w:pPr>
        <w:pStyle w:val="ListParagraph"/>
        <w:numPr>
          <w:ilvl w:val="0"/>
          <w:numId w:val="5"/>
        </w:numPr>
        <w:spacing w:after="60"/>
      </w:pPr>
      <w:r>
        <w:rPr>
          <w:rFonts w:ascii="Calibri" w:cs="Calibri" w:eastAsia="Calibri" w:hAnsi="Calibri"/>
          <w:sz w:val="20"/>
          <w:szCs w:val="20"/>
        </w:rPr>
        <w:t xml:space="preserve">https://www.tcs.com/de-de/kontaktieren-sie-uns/contact-us-overlay</w:t>
      </w:r>
    </w:p>
    <w:p>
      <w:pPr>
        <w:pStyle w:val="Heading2"/>
        <w:spacing w:after="100" w:before="200"/>
      </w:pPr>
      <w:r>
        <w:rPr>
          <w:rFonts w:ascii="Calibri" w:cs="Calibri" w:eastAsia="Calibri" w:hAnsi="Calibri"/>
          <w:b/>
          <w:bCs/>
          <w:color w:val="2E5597"/>
          <w:sz w:val="24"/>
          <w:szCs w:val="24"/>
        </w:rPr>
        <w:t xml:space="preserve">4.7 Privacy Policy  -  site:tcs.com "privacy policy"  -  Count: 15</w:t>
      </w:r>
    </w:p>
    <w:p>
      <w:pPr>
        <w:pStyle w:val="ListParagraph"/>
        <w:numPr>
          <w:ilvl w:val="0"/>
          <w:numId w:val="6"/>
        </w:numPr>
        <w:spacing w:after="60"/>
      </w:pPr>
      <w:r>
        <w:rPr>
          <w:rFonts w:ascii="Calibri" w:cs="Calibri" w:eastAsia="Calibri" w:hAnsi="Calibri"/>
          <w:sz w:val="20"/>
          <w:szCs w:val="20"/>
        </w:rPr>
        <w:t xml:space="preserve">https://tcs.com/privacy-policy</w:t>
      </w:r>
    </w:p>
    <w:p>
      <w:pPr>
        <w:pStyle w:val="ListParagraph"/>
        <w:numPr>
          <w:ilvl w:val="0"/>
          <w:numId w:val="6"/>
        </w:numPr>
        <w:spacing w:after="60"/>
      </w:pPr>
      <w:r>
        <w:rPr>
          <w:rFonts w:ascii="Calibri" w:cs="Calibri" w:eastAsia="Calibri" w:hAnsi="Calibri"/>
          <w:sz w:val="20"/>
          <w:szCs w:val="20"/>
        </w:rPr>
        <w:t xml:space="preserve">https://www.tcs.com/privacy-policy-commitment</w:t>
      </w:r>
    </w:p>
    <w:p>
      <w:pPr>
        <w:pStyle w:val="ListParagraph"/>
        <w:numPr>
          <w:ilvl w:val="0"/>
          <w:numId w:val="6"/>
        </w:numPr>
        <w:spacing w:after="60"/>
      </w:pPr>
      <w:r>
        <w:rPr>
          <w:rFonts w:ascii="Calibri" w:cs="Calibri" w:eastAsia="Calibri" w:hAnsi="Calibri"/>
          <w:sz w:val="20"/>
          <w:szCs w:val="20"/>
        </w:rPr>
        <w:t xml:space="preserve">https://tcs.com/privacy-policy-uy</w:t>
      </w:r>
    </w:p>
    <w:p>
      <w:pPr>
        <w:pStyle w:val="ListParagraph"/>
        <w:numPr>
          <w:ilvl w:val="0"/>
          <w:numId w:val="6"/>
        </w:numPr>
        <w:spacing w:after="60"/>
      </w:pPr>
      <w:r>
        <w:rPr>
          <w:rFonts w:ascii="Calibri" w:cs="Calibri" w:eastAsia="Calibri" w:hAnsi="Calibri"/>
          <w:sz w:val="20"/>
          <w:szCs w:val="20"/>
        </w:rPr>
        <w:t xml:space="preserve">https://tcs.com/privacy-policy-ec</w:t>
      </w:r>
    </w:p>
    <w:p>
      <w:pPr>
        <w:pStyle w:val="ListParagraph"/>
        <w:numPr>
          <w:ilvl w:val="0"/>
          <w:numId w:val="6"/>
        </w:numPr>
        <w:spacing w:after="60"/>
      </w:pPr>
      <w:r>
        <w:rPr>
          <w:rFonts w:ascii="Calibri" w:cs="Calibri" w:eastAsia="Calibri" w:hAnsi="Calibri"/>
          <w:sz w:val="20"/>
          <w:szCs w:val="20"/>
        </w:rPr>
        <w:t xml:space="preserve">https://tcs.com/privacy-policy-mx</w:t>
      </w:r>
    </w:p>
    <w:p>
      <w:pPr>
        <w:pStyle w:val="ListParagraph"/>
        <w:numPr>
          <w:ilvl w:val="0"/>
          <w:numId w:val="6"/>
        </w:numPr>
        <w:spacing w:after="60"/>
      </w:pPr>
      <w:r>
        <w:rPr>
          <w:rFonts w:ascii="Calibri" w:cs="Calibri" w:eastAsia="Calibri" w:hAnsi="Calibri"/>
          <w:sz w:val="20"/>
          <w:szCs w:val="20"/>
        </w:rPr>
        <w:t xml:space="preserve">https://tcs.com/privacy-policy-gt</w:t>
      </w:r>
    </w:p>
    <w:p>
      <w:pPr>
        <w:pStyle w:val="ListParagraph"/>
        <w:numPr>
          <w:ilvl w:val="0"/>
          <w:numId w:val="6"/>
        </w:numPr>
        <w:spacing w:after="60"/>
      </w:pPr>
      <w:r>
        <w:rPr>
          <w:rFonts w:ascii="Calibri" w:cs="Calibri" w:eastAsia="Calibri" w:hAnsi="Calibri"/>
          <w:sz w:val="20"/>
          <w:szCs w:val="20"/>
        </w:rPr>
        <w:t xml:space="preserve">https://tcs.com/privacy-policy-au</w:t>
      </w:r>
    </w:p>
    <w:p>
      <w:pPr>
        <w:pStyle w:val="ListParagraph"/>
        <w:numPr>
          <w:ilvl w:val="0"/>
          <w:numId w:val="6"/>
        </w:numPr>
        <w:spacing w:after="60"/>
      </w:pPr>
      <w:r>
        <w:rPr>
          <w:rFonts w:ascii="Calibri" w:cs="Calibri" w:eastAsia="Calibri" w:hAnsi="Calibri"/>
          <w:sz w:val="20"/>
          <w:szCs w:val="20"/>
        </w:rPr>
        <w:t xml:space="preserve">https://tcs.com/privacy-policy-co</w:t>
      </w:r>
    </w:p>
    <w:p>
      <w:pPr>
        <w:pStyle w:val="ListParagraph"/>
        <w:numPr>
          <w:ilvl w:val="0"/>
          <w:numId w:val="6"/>
        </w:numPr>
        <w:spacing w:after="60"/>
      </w:pPr>
      <w:r>
        <w:rPr>
          <w:rFonts w:ascii="Calibri" w:cs="Calibri" w:eastAsia="Calibri" w:hAnsi="Calibri"/>
          <w:sz w:val="20"/>
          <w:szCs w:val="20"/>
        </w:rPr>
        <w:t xml:space="preserve">https://tcs.com/privacy-policy-ca</w:t>
      </w:r>
    </w:p>
    <w:p>
      <w:pPr>
        <w:pStyle w:val="ListParagraph"/>
        <w:numPr>
          <w:ilvl w:val="0"/>
          <w:numId w:val="6"/>
        </w:numPr>
        <w:spacing w:after="60"/>
      </w:pPr>
      <w:r>
        <w:rPr>
          <w:rFonts w:ascii="Calibri" w:cs="Calibri" w:eastAsia="Calibri" w:hAnsi="Calibri"/>
          <w:sz w:val="20"/>
          <w:szCs w:val="20"/>
        </w:rPr>
        <w:t xml:space="preserve">https://www.tcs.com/privacy-policy-za</w:t>
      </w:r>
    </w:p>
    <w:p>
      <w:pPr>
        <w:pStyle w:val="ListParagraph"/>
        <w:numPr>
          <w:ilvl w:val="0"/>
          <w:numId w:val="6"/>
        </w:numPr>
        <w:spacing w:after="60"/>
      </w:pPr>
      <w:r>
        <w:rPr>
          <w:rFonts w:ascii="Calibri" w:cs="Calibri" w:eastAsia="Calibri" w:hAnsi="Calibri"/>
          <w:sz w:val="20"/>
          <w:szCs w:val="20"/>
        </w:rPr>
        <w:t xml:space="preserve">https://tcs.com/who-we-are/legal/tcs-privacy-notice/privacy-policy-ar</w:t>
      </w:r>
    </w:p>
    <w:p>
      <w:pPr>
        <w:pStyle w:val="ListParagraph"/>
        <w:numPr>
          <w:ilvl w:val="0"/>
          <w:numId w:val="6"/>
        </w:numPr>
        <w:spacing w:after="60"/>
      </w:pPr>
      <w:r>
        <w:rPr>
          <w:rFonts w:ascii="Calibri" w:cs="Calibri" w:eastAsia="Calibri" w:hAnsi="Calibri"/>
          <w:sz w:val="20"/>
          <w:szCs w:val="20"/>
        </w:rPr>
        <w:t xml:space="preserve">https://tcs.com/who-we-are/legal/tcs-privacy-notice/tcs-privacy-policy-canada-french</w:t>
      </w:r>
    </w:p>
    <w:p>
      <w:pPr>
        <w:pStyle w:val="ListParagraph"/>
        <w:numPr>
          <w:ilvl w:val="0"/>
          <w:numId w:val="6"/>
        </w:numPr>
        <w:spacing w:after="60"/>
      </w:pPr>
      <w:r>
        <w:rPr>
          <w:rFonts w:ascii="Calibri" w:cs="Calibri" w:eastAsia="Calibri" w:hAnsi="Calibri"/>
          <w:sz w:val="20"/>
          <w:szCs w:val="20"/>
        </w:rPr>
        <w:t xml:space="preserve">https://tcs.com/who-we-are/legal/tcs-privacy-notice/privacy-policy-argentina-esp</w:t>
      </w:r>
    </w:p>
    <w:p>
      <w:pPr>
        <w:pStyle w:val="ListParagraph"/>
        <w:numPr>
          <w:ilvl w:val="0"/>
          <w:numId w:val="6"/>
        </w:numPr>
        <w:spacing w:after="60"/>
      </w:pPr>
      <w:r>
        <w:rPr>
          <w:rFonts w:ascii="Calibri" w:cs="Calibri" w:eastAsia="Calibri" w:hAnsi="Calibri"/>
          <w:sz w:val="20"/>
          <w:szCs w:val="20"/>
        </w:rPr>
        <w:t xml:space="preserve">https://tcs.com/se-sv/det-har-ar-vi/rattslig/integritets-policy</w:t>
      </w:r>
    </w:p>
    <w:p>
      <w:pPr>
        <w:pStyle w:val="ListParagraph"/>
        <w:numPr>
          <w:ilvl w:val="0"/>
          <w:numId w:val="6"/>
        </w:numPr>
        <w:spacing w:after="60"/>
      </w:pPr>
      <w:r>
        <w:rPr>
          <w:rFonts w:ascii="Calibri" w:cs="Calibri" w:eastAsia="Calibri" w:hAnsi="Calibri"/>
          <w:sz w:val="20"/>
          <w:szCs w:val="20"/>
        </w:rPr>
        <w:t xml:space="preserve">https://bodapp.tcs.com/boardwebapp/tcs-board/pages/privacyPolicy.html</w:t>
      </w:r>
    </w:p>
    <w:p>
      <w:pPr>
        <w:pStyle w:val="Heading1"/>
        <w:spacing w:after="120" w:before="280"/>
      </w:pPr>
      <w:r>
        <w:rPr>
          <w:rFonts w:ascii="Calibri" w:cs="Calibri" w:eastAsia="Calibri" w:hAnsi="Calibri"/>
          <w:b/>
          <w:bCs/>
          <w:color w:val="1F3864"/>
          <w:sz w:val="28"/>
          <w:szCs w:val="28"/>
        </w:rPr>
        <w:t xml:space="preserve">5. Security and Social Engineering Analysis</w:t>
      </w:r>
    </w:p>
    <w:p>
      <w:pPr>
        <w:spacing w:after="120"/>
      </w:pPr>
      <w:r>
        <w:rPr>
          <w:rFonts w:ascii="Calibri" w:cs="Calibri" w:eastAsia="Calibri" w:hAnsi="Calibri"/>
          <w:sz w:val="22"/>
          <w:szCs w:val="22"/>
        </w:rPr>
        <w:t xml:space="preserve">Individually, each item above is ordinary public information. Combined, they form the reconnaissance picture an attacker would build before a social engineering attack. The risks identified are:</w:t>
      </w:r>
    </w:p>
    <w:p>
      <w:pPr>
        <w:pStyle w:val="Heading2"/>
        <w:spacing w:after="100" w:before="200"/>
      </w:pPr>
      <w:r>
        <w:rPr>
          <w:rFonts w:ascii="Calibri" w:cs="Calibri" w:eastAsia="Calibri" w:hAnsi="Calibri"/>
          <w:b/>
          <w:bCs/>
          <w:color w:val="2E5597"/>
          <w:sz w:val="24"/>
          <w:szCs w:val="24"/>
        </w:rPr>
        <w:t xml:space="preserve">5.1 Email addresses and naming convention</w:t>
      </w:r>
    </w:p>
    <w:p>
      <w:pPr>
        <w:spacing w:after="120"/>
      </w:pPr>
      <w:r>
        <w:rPr>
          <w:rFonts w:ascii="Calibri" w:cs="Calibri" w:eastAsia="Calibri" w:hAnsi="Calibri"/>
          <w:sz w:val="22"/>
          <w:szCs w:val="22"/>
        </w:rPr>
        <w:t xml:space="preserve">The PDFs and filings expose role-based mailboxes (corporate office, investor relations, product and marketing contacts, regional data-protection officers) and, in mirrored press releases, regional media contacts written as firstname.lastname@tcs.com with phone numbers. This reveals the corporate address format, so an attacker can guess valid addresses for other staff and target them with spear-phishing.</w:t>
      </w:r>
    </w:p>
    <w:p>
      <w:pPr>
        <w:pStyle w:val="Heading2"/>
        <w:spacing w:after="100" w:before="200"/>
      </w:pPr>
      <w:r>
        <w:rPr>
          <w:rFonts w:ascii="Calibri" w:cs="Calibri" w:eastAsia="Calibri" w:hAnsi="Calibri"/>
          <w:b/>
          <w:bCs/>
          <w:color w:val="2E5597"/>
          <w:sz w:val="24"/>
          <w:szCs w:val="24"/>
        </w:rPr>
        <w:t xml:space="preserve">5.2 Document metadata and internal traces</w:t>
      </w:r>
    </w:p>
    <w:p>
      <w:pPr>
        <w:spacing w:after="120"/>
      </w:pPr>
      <w:r>
        <w:rPr>
          <w:rFonts w:ascii="Calibri" w:cs="Calibri" w:eastAsia="Calibri" w:hAnsi="Calibri"/>
          <w:sz w:val="22"/>
          <w:szCs w:val="22"/>
        </w:rPr>
        <w:t xml:space="preserve">Mirrored PDFs carry the name of the signing company officer, signing timestamps and, in at least one case, a local Windows file path embedded in a link. Metadata like this discloses names, roles, tooling and internal folder structure, which an attacker can use to make a pretext message sound authentic.</w:t>
      </w:r>
    </w:p>
    <w:p>
      <w:pPr>
        <w:pStyle w:val="Heading2"/>
        <w:spacing w:after="100" w:before="200"/>
      </w:pPr>
      <w:r>
        <w:rPr>
          <w:rFonts w:ascii="Calibri" w:cs="Calibri" w:eastAsia="Calibri" w:hAnsi="Calibri"/>
          <w:b/>
          <w:bCs/>
          <w:color w:val="2E5597"/>
          <w:sz w:val="24"/>
          <w:szCs w:val="24"/>
        </w:rPr>
        <w:t xml:space="preserve">5.3 Login portals as phishing targets</w:t>
      </w:r>
    </w:p>
    <w:p>
      <w:pPr>
        <w:spacing w:after="120"/>
      </w:pPr>
      <w:r>
        <w:rPr>
          <w:rFonts w:ascii="Calibri" w:cs="Calibri" w:eastAsia="Calibri" w:hAnsi="Calibri"/>
          <w:sz w:val="22"/>
          <w:szCs w:val="22"/>
        </w:rPr>
        <w:t xml:space="preserve">The candidate portal (nextstep.tcs.com) and employee webmail (webmail.tcs.com) are widely advertised. Well-known portals with a large user base are the usual choice for cloned credential-harvesting pages, and recruitment lures ("your assessment or offer is ready") are especially convincing to students and job seekers. The absence of "login" titles for tcs.com in the dork is positive, but the portals are discoverable by simple searching.</w:t>
      </w:r>
    </w:p>
    <w:p>
      <w:pPr>
        <w:pStyle w:val="Heading2"/>
        <w:spacing w:after="100" w:before="200"/>
      </w:pPr>
      <w:r>
        <w:rPr>
          <w:rFonts w:ascii="Calibri" w:cs="Calibri" w:eastAsia="Calibri" w:hAnsi="Calibri"/>
          <w:b/>
          <w:bCs/>
          <w:color w:val="2E5597"/>
          <w:sz w:val="24"/>
          <w:szCs w:val="24"/>
        </w:rPr>
        <w:t xml:space="preserve">5.4 Organisational detail for pretexting</w:t>
      </w:r>
    </w:p>
    <w:p>
      <w:pPr>
        <w:spacing w:after="120"/>
      </w:pPr>
      <w:r>
        <w:rPr>
          <w:rFonts w:ascii="Calibri" w:cs="Calibri" w:eastAsia="Calibri" w:hAnsi="Calibri"/>
          <w:sz w:val="22"/>
          <w:szCs w:val="22"/>
        </w:rPr>
        <w:t xml:space="preserve">Contact pages, investor-relations pages and filings list the registered office, the share registrar, regional offices, product names and partner relationships. An attacker can impersonate the registrar, an investor-relations desk, a vendor or a regional office, and use correct names and addresses to gain trust in a phone call or email (vishing / pretexting).</w:t>
      </w:r>
    </w:p>
    <w:p>
      <w:pPr>
        <w:pStyle w:val="Heading2"/>
        <w:spacing w:after="100" w:before="200"/>
      </w:pPr>
      <w:r>
        <w:rPr>
          <w:rFonts w:ascii="Calibri" w:cs="Calibri" w:eastAsia="Calibri" w:hAnsi="Calibri"/>
          <w:b/>
          <w:bCs/>
          <w:color w:val="2E5597"/>
          <w:sz w:val="24"/>
          <w:szCs w:val="24"/>
        </w:rPr>
        <w:t xml:space="preserve">5.5 Privacy pages and data-protection contacts</w:t>
      </w:r>
    </w:p>
    <w:p>
      <w:pPr>
        <w:spacing w:after="120"/>
      </w:pPr>
      <w:r>
        <w:rPr>
          <w:rFonts w:ascii="Calibri" w:cs="Calibri" w:eastAsia="Calibri" w:hAnsi="Calibri"/>
          <w:sz w:val="22"/>
          <w:szCs w:val="22"/>
        </w:rPr>
        <w:t xml:space="preserve">The 15 privacy pages show country-specific data-protection officer mailboxes. This transparency is required by law and is positive, but the same mailboxes could be abused to send fake data-subject requests or to impersonate the privacy office.</w:t>
      </w:r>
    </w:p>
    <w:p>
      <w:pPr>
        <w:pStyle w:val="Heading2"/>
        <w:spacing w:after="100" w:before="200"/>
      </w:pPr>
      <w:r>
        <w:rPr>
          <w:rFonts w:ascii="Calibri" w:cs="Calibri" w:eastAsia="Calibri" w:hAnsi="Calibri"/>
          <w:b/>
          <w:bCs/>
          <w:color w:val="2E5597"/>
          <w:sz w:val="24"/>
          <w:szCs w:val="24"/>
        </w:rPr>
        <w:t xml:space="preserve">5.6 Uncontrolled third-party copies</w:t>
      </w:r>
    </w:p>
    <w:p>
      <w:pPr>
        <w:spacing w:after="120"/>
      </w:pPr>
      <w:r>
        <w:rPr>
          <w:rFonts w:ascii="Calibri" w:cs="Calibri" w:eastAsia="Calibri" w:hAnsi="Calibri"/>
          <w:sz w:val="22"/>
          <w:szCs w:val="22"/>
        </w:rPr>
        <w:t xml:space="preserve">Outdated decks, project reports and filings about TCS sit on Scribd, SlideShare and exchange archives. The organisation cannot remove or update these, so stale names, phone numbers and structure details remain available indefinitely.</w:t>
      </w:r>
    </w:p>
    <w:p>
      <w:pPr>
        <w:pStyle w:val="Heading2"/>
        <w:spacing w:after="100" w:before="200"/>
      </w:pPr>
      <w:r>
        <w:rPr>
          <w:rFonts w:ascii="Calibri" w:cs="Calibri" w:eastAsia="Calibri" w:hAnsi="Calibri"/>
          <w:b/>
          <w:bCs/>
          <w:color w:val="2E5597"/>
          <w:sz w:val="24"/>
          <w:szCs w:val="24"/>
        </w:rPr>
        <w:t xml:space="preserve">5.7 Positive security observations</w:t>
      </w:r>
    </w:p>
    <w:p>
      <w:pPr>
        <w:pStyle w:val="ListParagraph"/>
        <w:numPr>
          <w:ilvl w:val="0"/>
          <w:numId w:val="3"/>
        </w:numPr>
        <w:spacing w:after="60"/>
      </w:pPr>
      <w:r>
        <w:rPr>
          <w:rFonts w:ascii="Calibri" w:cs="Calibri" w:eastAsia="Calibri" w:hAnsi="Calibri"/>
          <w:sz w:val="21"/>
          <w:szCs w:val="21"/>
        </w:rPr>
        <w:t xml:space="preserve">No PPT or DOC files and no admin pages were found on the domain.</w:t>
      </w:r>
    </w:p>
    <w:p>
      <w:pPr>
        <w:pStyle w:val="ListParagraph"/>
        <w:numPr>
          <w:ilvl w:val="0"/>
          <w:numId w:val="3"/>
        </w:numPr>
        <w:spacing w:after="60"/>
      </w:pPr>
      <w:r>
        <w:rPr>
          <w:rFonts w:ascii="Calibri" w:cs="Calibri" w:eastAsia="Calibri" w:hAnsi="Calibri"/>
          <w:sz w:val="21"/>
          <w:szCs w:val="21"/>
        </w:rPr>
        <w:t xml:space="preserve">The login query returned no tcs.com pages titled "login", so sign-in pages are not widely indexed under that title.</w:t>
      </w:r>
    </w:p>
    <w:p>
      <w:pPr>
        <w:pStyle w:val="ListParagraph"/>
        <w:numPr>
          <w:ilvl w:val="0"/>
          <w:numId w:val="3"/>
        </w:numPr>
        <w:spacing w:after="60"/>
      </w:pPr>
      <w:r>
        <w:rPr>
          <w:rFonts w:ascii="Calibri" w:cs="Calibri" w:eastAsia="Calibri" w:hAnsi="Calibri"/>
          <w:sz w:val="21"/>
          <w:szCs w:val="21"/>
        </w:rPr>
        <w:t xml:space="preserve">The organisation publishes a layered privacy framework with named data-protection contacts.</w:t>
      </w:r>
    </w:p>
    <w:p>
      <w:pPr>
        <w:pStyle w:val="Heading2"/>
        <w:spacing w:after="100" w:before="200"/>
      </w:pPr>
      <w:r>
        <w:rPr>
          <w:rFonts w:ascii="Calibri" w:cs="Calibri" w:eastAsia="Calibri" w:hAnsi="Calibri"/>
          <w:b/>
          <w:bCs/>
          <w:color w:val="2E5597"/>
          <w:sz w:val="24"/>
          <w:szCs w:val="24"/>
        </w:rPr>
        <w:t xml:space="preserve">5.8 Example attack scenarios (awareness only)</w:t>
      </w:r>
    </w:p>
    <w:p>
      <w:pPr>
        <w:pStyle w:val="ListParagraph"/>
        <w:numPr>
          <w:ilvl w:val="0"/>
          <w:numId w:val="3"/>
        </w:numPr>
        <w:spacing w:after="60"/>
      </w:pPr>
      <w:r>
        <w:rPr>
          <w:rFonts w:ascii="Calibri" w:cs="Calibri" w:eastAsia="Calibri" w:hAnsi="Calibri"/>
          <w:sz w:val="21"/>
          <w:szCs w:val="21"/>
        </w:rPr>
        <w:t xml:space="preserve">Fake recruitment email to students using the correct portal name and a cloned login page to steal credentials.</w:t>
      </w:r>
    </w:p>
    <w:p>
      <w:pPr>
        <w:pStyle w:val="ListParagraph"/>
        <w:numPr>
          <w:ilvl w:val="0"/>
          <w:numId w:val="3"/>
        </w:numPr>
        <w:spacing w:after="60"/>
      </w:pPr>
      <w:r>
        <w:rPr>
          <w:rFonts w:ascii="Calibri" w:cs="Calibri" w:eastAsia="Calibri" w:hAnsi="Calibri"/>
          <w:sz w:val="21"/>
          <w:szCs w:val="21"/>
        </w:rPr>
        <w:t xml:space="preserve">Phone call to a staff member from a "vendor" or "registrar", quoting real addresses and names from filings, to obtain information or push a malicious link.</w:t>
      </w:r>
    </w:p>
    <w:p>
      <w:pPr>
        <w:pStyle w:val="ListParagraph"/>
        <w:numPr>
          <w:ilvl w:val="0"/>
          <w:numId w:val="3"/>
        </w:numPr>
        <w:spacing w:after="60"/>
      </w:pPr>
      <w:r>
        <w:rPr>
          <w:rFonts w:ascii="Calibri" w:cs="Calibri" w:eastAsia="Calibri" w:hAnsi="Calibri"/>
          <w:sz w:val="21"/>
          <w:szCs w:val="21"/>
        </w:rPr>
        <w:t xml:space="preserve">Spear-phishing of employees using guessed firstname.lastname addresses and a press-release-themed attachment.</w:t>
      </w:r>
    </w:p>
    <w:p>
      <w:pPr>
        <w:pStyle w:val="Heading1"/>
        <w:spacing w:after="120" w:before="280"/>
      </w:pPr>
      <w:r>
        <w:rPr>
          <w:rFonts w:ascii="Calibri" w:cs="Calibri" w:eastAsia="Calibri" w:hAnsi="Calibri"/>
          <w:b/>
          <w:bCs/>
          <w:color w:val="1F3864"/>
          <w:sz w:val="28"/>
          <w:szCs w:val="28"/>
        </w:rPr>
        <w:t xml:space="preserve">6.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Area</w:t>
            </w:r>
          </w:p>
        </w:tc>
        <w:tc>
          <w:tcPr>
            <w:tcW w:type="dxa" w:w="64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Recommended control</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Email exposure</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Prefer role-based mailboxes and contact forms in public documents; avoid publishing individual staff addresses and direct numbers; enforce SPF, DKIM and DMARC.</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Document hygiene</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Strip metadata and embedded local paths before publishing PDFs; review documents with a metadata scrubber as part of release.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Search exposure</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Use noindex / X-Robots-Tag for files and paths that do not need to be searchable; run regular self-audits with the same dorks used here.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Login portals</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Enforce multi-factor authentication, rate-limiting and bot protection; monitor for look-alike domains and request takedowns quickly.</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Human factor</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Run regular awareness training and phishing simulations; publish clear guidance on how real recruiters and officers contact people; require call-back verification for sensitive requests.</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Third-party copies</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Monitor brand mentions and request removal of outdated or sensitive copies from file-sharing sites where possible.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Incident handling</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Provide a simple channel to report suspicious emails, calls and fake portals, and act on reports quickly.</w:t>
            </w:r>
          </w:p>
        </w:tc>
      </w:tr>
    </w:tbl>
    <w:p>
      <w:pPr>
        <w:pStyle w:val="Heading1"/>
        <w:spacing w:after="120" w:before="280"/>
      </w:pPr>
      <w:r>
        <w:rPr>
          <w:rFonts w:ascii="Calibri" w:cs="Calibri" w:eastAsia="Calibri" w:hAnsi="Calibri"/>
          <w:b/>
          <w:bCs/>
          <w:color w:val="1F3864"/>
          <w:sz w:val="28"/>
          <w:szCs w:val="28"/>
        </w:rPr>
        <w:t xml:space="preserve">7. Conclusion</w:t>
      </w:r>
    </w:p>
    <w:p>
      <w:pPr>
        <w:spacing w:after="120"/>
      </w:pPr>
      <w:r>
        <w:rPr>
          <w:rFonts w:ascii="Calibri" w:cs="Calibri" w:eastAsia="Calibri" w:hAnsi="Calibri"/>
          <w:sz w:val="22"/>
          <w:szCs w:val="22"/>
        </w:rPr>
        <w:t xml:space="preserve">Passive search-operator footprinting of tcs.com showed a generally well-controlled public surface: no admin pages and no office documents (PPT/DOC) on the domain, four PDFs, six contact pages and fifteen privacy pages. The main exposure is not a technical weakness but the information an attacker can combine, namely email naming patterns, regional contacts, document metadata, widely advertised login portals and organisational detail, to craft convincing phishing, vishing and pretexting attacks. Basic hygiene (metadata scrubbing, role-based contacts, MFA, brand monitoring) combined with user awareness training substantially reduces this risk.</w:t>
      </w:r>
    </w:p>
    <w:p>
      <w:pPr>
        <w:pStyle w:val="Heading1"/>
        <w:spacing w:after="120" w:before="280"/>
      </w:pPr>
      <w:r>
        <w:rPr>
          <w:rFonts w:ascii="Calibri" w:cs="Calibri" w:eastAsia="Calibri" w:hAnsi="Calibri"/>
          <w:b/>
          <w:bCs/>
          <w:color w:val="1F3864"/>
          <w:sz w:val="28"/>
          <w:szCs w:val="28"/>
        </w:rPr>
        <w:t xml:space="preserve">8. Sources and Evidence</w:t>
      </w:r>
    </w:p>
    <w:p>
      <w:pPr>
        <w:spacing w:after="120"/>
      </w:pPr>
      <w:r>
        <w:rPr>
          <w:rFonts w:ascii="Calibri" w:cs="Calibri" w:eastAsia="Calibri" w:hAnsi="Calibri"/>
          <w:sz w:val="20"/>
          <w:szCs w:val="20"/>
        </w:rPr>
        <w:t xml:space="preserve">Evidence is the list of URLs given in Section 4, collected from search results on 26 October 2026. Third-party pages consulted for context included stock-exchange filing archives (BSE, NSE), Scribd, SlideShare, Cisco and Tungsten documentation sites, and job sites.</w:t>
      </w:r>
    </w:p>
    <w:p>
      <w:pPr>
        <w:spacing w:after="300"/>
      </w:pPr>
      <w:r>
        <w:rPr>
          <w:rFonts w:ascii="Calibri" w:cs="Calibri" w:eastAsia="Calibri" w:hAnsi="Calibri"/>
          <w:sz w:val="22"/>
          <w:szCs w:val="22"/>
        </w:rPr>
        <w:t xml:space="preserve"/>
      </w:r>
    </w:p>
    <w:p>
      <w:pPr>
        <w:spacing w:after="20"/>
      </w:pPr>
      <w:r>
        <w:rPr>
          <w:rFonts w:ascii="Calibri" w:cs="Calibri" w:eastAsia="Calibri" w:hAnsi="Calibri"/>
          <w:sz w:val="22"/>
          <w:szCs w:val="22"/>
        </w:rPr>
        <w:t xml:space="preserve">______________________________</w:t>
      </w:r>
    </w:p>
    <w:p>
      <w:pPr>
        <w:spacing w:after="20"/>
      </w:pPr>
      <w:r>
        <w:rPr>
          <w:rFonts w:ascii="Calibri" w:cs="Calibri" w:eastAsia="Calibri" w:hAnsi="Calibri"/>
          <w:b/>
          <w:bCs/>
          <w:i/>
          <w:iCs/>
          <w:sz w:val="22"/>
          <w:szCs w:val="22"/>
        </w:rPr>
        <w:t xml:space="preserve">Signature of the student</w:t>
      </w:r>
    </w:p>
    <w:p>
      <w:pPr>
        <w:spacing w:after="120"/>
      </w:pPr>
      <w:r>
        <w:rPr>
          <w:rFonts w:ascii="Calibri" w:cs="Calibri" w:eastAsia="Calibri" w:hAnsi="Calibri"/>
          <w:sz w:val="22"/>
          <w:szCs w:val="22"/>
        </w:rPr>
        <w:t xml:space="preserve">Kamalesh M (192421438)</w:t>
      </w:r>
    </w:p>
    <w:sectPr>
      <w:pgSz w:w="11906" w:h="16838" w:orient="portrait"/>
      <w:pgMar w:top="1134" w:right="1273" w:bottom="1134"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Assessment 2 - Social Engineering Simulation</dc:title>
  <dc:creator>Kamalesh M</dc:creator>
  <cp:lastModifiedBy>Un-named</cp:lastModifiedBy>
  <cp:revision>1</cp:revision>
  <dcterms:created xsi:type="dcterms:W3CDTF">2026-10-26T08:33:36.630Z</dcterms:created>
  <dcterms:modified xsi:type="dcterms:W3CDTF">2026-10-26T08:33:36.630Z</dcterms:modified>
</cp:coreProperties>
</file>

<file path=docProps/custom.xml><?xml version="1.0" encoding="utf-8"?>
<Properties xmlns="http://schemas.openxmlformats.org/officeDocument/2006/custom-properties" xmlns:vt="http://schemas.openxmlformats.org/officeDocument/2006/docPropsVTypes"/>
</file>