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SIMATS ENGINEERING</w:t>
      </w:r>
    </w:p>
    <w:p>
      <w:pPr>
        <w:spacing w:after="200"/>
        <w:jc w:val="center"/>
      </w:pPr>
      <w:r>
        <w:rPr>
          <w:rFonts w:ascii="Calibri" w:cs="Calibri" w:eastAsia="Calibri" w:hAnsi="Calibri"/>
          <w:sz w:val="20"/>
          <w:szCs w:val="20"/>
        </w:rPr>
        <w:t xml:space="preserve">Saveetha Institute of Medical And Technical Sciences</w:t>
      </w:r>
    </w:p>
    <w:p>
      <w:pPr>
        <w:shd w:fill="404040" w:color="auto" w:val="clear"/>
        <w:spacing w:after="60"/>
        <w:jc w:val="center"/>
      </w:pPr>
      <w:r>
        <w:rPr>
          <w:rFonts w:ascii="Calibri" w:cs="Calibri" w:eastAsia="Calibri" w:hAnsi="Calibri"/>
          <w:b/>
          <w:bCs/>
          <w:color w:val="FFFFFF"/>
          <w:sz w:val="28"/>
          <w:szCs w:val="28"/>
        </w:rPr>
        <w:t xml:space="preserve">CO2 - ASSESSMENT 3</w:t>
      </w:r>
    </w:p>
    <w:p>
      <w:pPr>
        <w:spacing w:after="200"/>
        <w:jc w:val="center"/>
      </w:pPr>
      <w:r>
        <w:rPr>
          <w:rFonts w:ascii="Calibri" w:cs="Calibri" w:eastAsia="Calibri" w:hAnsi="Calibri"/>
          <w:b/>
          <w:bCs/>
          <w:sz w:val="28"/>
          <w:szCs w:val="28"/>
          <w:u w:val="single"/>
        </w:rPr>
        <w:t xml:space="preserve">SCENARIO-BASED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
        <w:gridCol w:w="6360"/>
      </w:tblGrid>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Course Faculty</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Dr. K. Anbazhagan</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Course Name</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Ethical Hacking</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Course Code</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ITA1406</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Slot</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Slot B</w:t>
            </w:r>
          </w:p>
        </w:tc>
      </w:tr>
      <w:tr>
        <w:tc>
          <w:tcPr>
            <w:tcW w:type="dxa" w:w="26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Total Marks</w:t>
            </w:r>
          </w:p>
        </w:tc>
        <w:tc>
          <w:tcPr>
            <w:tcW w:type="dxa" w:w="40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w:t>
            </w:r>
          </w:p>
        </w:tc>
        <w:tc>
          <w:tcPr>
            <w:tcW w:type="dxa" w:w="6360"/>
            <w:tcBorders>
              <w:top w:val="none" w:color="FFFFFF" w:sz="0"/>
              <w:left w:val="none" w:color="FFFFFF" w:sz="0"/>
              <w:bottom w:val="none" w:color="FFFFFF" w:sz="0"/>
              <w:right w:val="none" w:color="FFFFFF" w:sz="0"/>
            </w:tcBorders>
          </w:tcPr>
          <w:p>
            <w:pPr>
              <w:spacing w:after="20"/>
            </w:pPr>
            <w:r>
              <w:rPr>
                <w:rFonts w:ascii="Calibri" w:cs="Calibri" w:eastAsia="Calibri" w:hAnsi="Calibri"/>
                <w:b/>
                <w:bCs/>
                <w:sz w:val="22"/>
                <w:szCs w:val="22"/>
              </w:rPr>
              <w:t xml:space="preserve">100</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i/>
          <w:iCs/>
          <w:sz w:val="22"/>
          <w:szCs w:val="22"/>
        </w:rPr>
        <w:t xml:space="preserve">CO2: </w:t>
      </w:r>
      <w:r>
        <w:rPr>
          <w:rFonts w:ascii="Calibri" w:cs="Calibri" w:eastAsia="Calibri" w:hAnsi="Calibri"/>
          <w:i/>
          <w:iCs/>
          <w:sz w:val="22"/>
          <w:szCs w:val="22"/>
        </w:rPr>
        <w:t xml:space="preserve">Foot printing Tools: Conducting Competitive Intelligence, DNS Zone Transfers, Introduction to Social Engineering: Social Engineering Attacks and Countermeasures. (BT3)</w:t>
      </w:r>
    </w:p>
    <w:p>
      <w:pPr>
        <w:pStyle w:val="Heading2"/>
        <w:spacing w:after="100" w:before="200"/>
      </w:pPr>
      <w:r>
        <w:rPr>
          <w:rFonts w:ascii="Calibri" w:cs="Calibri" w:eastAsia="Calibri" w:hAnsi="Calibri"/>
          <w:b/>
          <w:bCs/>
          <w:color w:val="2E5597"/>
          <w:sz w:val="24"/>
          <w:szCs w:val="24"/>
        </w:rPr>
        <w:t xml:space="preserve">Code of Conduct</w:t>
      </w:r>
    </w:p>
    <w:p>
      <w:pPr>
        <w:spacing w:after="120"/>
      </w:pPr>
      <w:r>
        <w:rPr>
          <w:rFonts w:ascii="Calibri" w:cs="Calibri" w:eastAsia="Calibri" w:hAnsi="Calibri"/>
          <w:i/>
          <w:iCs/>
          <w:sz w:val="22"/>
          <w:szCs w:val="22"/>
        </w:rPr>
        <w:t xml:space="preserve">I, </w:t>
      </w:r>
      <w:r>
        <w:rPr>
          <w:rFonts w:ascii="Calibri" w:cs="Calibri" w:eastAsia="Calibri" w:hAnsi="Calibri"/>
          <w:b/>
          <w:bCs/>
          <w:i/>
          <w:iCs/>
          <w:sz w:val="22"/>
          <w:szCs w:val="22"/>
          <w:u w:val="single"/>
        </w:rPr>
        <w:t xml:space="preserve">Kamalesh M (192421438)</w:t>
      </w:r>
      <w:r>
        <w:rPr>
          <w:rFonts w:ascii="Calibri" w:cs="Calibri" w:eastAsia="Calibri" w:hAnsi="Calibri"/>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240"/>
      </w:pPr>
      <w:r>
        <w:rPr>
          <w:rFonts w:ascii="Calibri" w:cs="Calibri" w:eastAsia="Calibri" w:hAnsi="Calibri"/>
          <w:sz w:val="22"/>
          <w:szCs w:val="22"/>
        </w:rPr>
        <w:t xml:space="preserve"/>
      </w:r>
    </w:p>
    <w:p>
      <w:pPr>
        <w:spacing w:after="20"/>
      </w:pPr>
      <w:r>
        <w:rPr>
          <w:rFonts w:ascii="Calibri" w:cs="Calibri" w:eastAsia="Calibri" w:hAnsi="Calibri"/>
          <w:sz w:val="22"/>
          <w:szCs w:val="22"/>
        </w:rPr>
        <w:t xml:space="preserve">______________________________</w:t>
      </w:r>
    </w:p>
    <w:p>
      <w:pPr>
        <w:spacing w:after="120"/>
      </w:pPr>
      <w:r>
        <w:rPr>
          <w:rFonts w:ascii="Calibri" w:cs="Calibri" w:eastAsia="Calibri" w:hAnsi="Calibri"/>
          <w:b/>
          <w:bCs/>
          <w:i/>
          <w:iCs/>
          <w:sz w:val="22"/>
          <w:szCs w:val="22"/>
        </w:rPr>
        <w:t xml:space="preserve">Signature of the student</w:t>
      </w:r>
    </w:p>
    <w:p>
      <w:pPr>
        <w:spacing w:after="200"/>
      </w:pPr>
      <w:r>
        <w:rPr>
          <w:rFonts w:ascii="Calibri" w:cs="Calibri" w:eastAsia="Calibri" w:hAnsi="Calibri"/>
          <w:sz w:val="22"/>
          <w:szCs w:val="22"/>
        </w:rPr>
        <w:t xml:space="preserve">Kamalesh M (192421438)</w:t>
      </w:r>
    </w:p>
    <w:p>
      <w:pPr>
        <w:pStyle w:val="Heading1"/>
        <w:spacing w:after="120" w:before="280"/>
      </w:pPr>
      <w:r>
        <w:rPr>
          <w:rFonts w:ascii="Calibri" w:cs="Calibri" w:eastAsia="Calibri" w:hAnsi="Calibri"/>
          <w:b/>
          <w:bCs/>
          <w:color w:val="1F3864"/>
          <w:sz w:val="28"/>
          <w:szCs w:val="28"/>
        </w:rPr>
        <w:t xml:space="preserve">1. Student and Target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Item</w:t>
            </w:r>
          </w:p>
        </w:tc>
        <w:tc>
          <w:tcPr>
            <w:tcW w:type="dxa" w:w="63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Detail</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Student Name</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Kamalesh M</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Register Number</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192421438</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Assigned Website (S.No. 21)</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www.tcs.com (domain tested: tcs.com)</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Tool used</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DNSDumpster (https://dnsdumpster.com) - Domain Profiler</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Report generated</w:t>
            </w:r>
          </w:p>
        </w:tc>
        <w:tc>
          <w:tcPr>
            <w:tcW w:type="dxa" w:w="63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26 October 2026, 08:39:14 (from the downloaded report)</w:t>
            </w:r>
          </w:p>
        </w:tc>
      </w:tr>
    </w:tbl>
    <w:p>
      <w:pPr>
        <w:pStyle w:val="Heading1"/>
        <w:spacing w:after="120" w:before="280"/>
      </w:pPr>
      <w:r>
        <w:rPr>
          <w:rFonts w:ascii="Calibri" w:cs="Calibri" w:eastAsia="Calibri" w:hAnsi="Calibri"/>
          <w:b/>
          <w:bCs/>
          <w:color w:val="1F3864"/>
          <w:sz w:val="28"/>
          <w:szCs w:val="28"/>
        </w:rPr>
        <w:t xml:space="preserve">2. Procedure Followed</w:t>
      </w:r>
    </w:p>
    <w:p>
      <w:pPr>
        <w:pStyle w:val="ListParagraph"/>
        <w:numPr>
          <w:ilvl w:val="0"/>
          <w:numId w:val="2"/>
        </w:numPr>
        <w:spacing w:after="60"/>
      </w:pPr>
      <w:r>
        <w:rPr>
          <w:rFonts w:ascii="Calibri" w:cs="Calibri" w:eastAsia="Calibri" w:hAnsi="Calibri"/>
          <w:sz w:val="20"/>
          <w:szCs w:val="20"/>
        </w:rPr>
        <w:t xml:space="preserve">Opened https://dnsdumpster.com.</w:t>
      </w:r>
    </w:p>
    <w:p>
      <w:pPr>
        <w:pStyle w:val="ListParagraph"/>
        <w:numPr>
          <w:ilvl w:val="0"/>
          <w:numId w:val="2"/>
        </w:numPr>
        <w:spacing w:after="60"/>
      </w:pPr>
      <w:r>
        <w:rPr>
          <w:rFonts w:ascii="Calibri" w:cs="Calibri" w:eastAsia="Calibri" w:hAnsi="Calibri"/>
          <w:sz w:val="20"/>
          <w:szCs w:val="20"/>
        </w:rPr>
        <w:t xml:space="preserve">Typed tcs.com under "Enter a Domain to Test".</w:t>
      </w:r>
    </w:p>
    <w:p>
      <w:pPr>
        <w:pStyle w:val="ListParagraph"/>
        <w:numPr>
          <w:ilvl w:val="0"/>
          <w:numId w:val="2"/>
        </w:numPr>
        <w:spacing w:after="60"/>
      </w:pPr>
      <w:r>
        <w:rPr>
          <w:rFonts w:ascii="Calibri" w:cs="Calibri" w:eastAsia="Calibri" w:hAnsi="Calibri"/>
          <w:sz w:val="20"/>
          <w:szCs w:val="20"/>
        </w:rPr>
        <w:t xml:space="preserve">Clicked "Start Test".</w:t>
      </w:r>
    </w:p>
    <w:p>
      <w:pPr>
        <w:pStyle w:val="ListParagraph"/>
        <w:numPr>
          <w:ilvl w:val="0"/>
          <w:numId w:val="2"/>
        </w:numPr>
        <w:spacing w:after="60"/>
      </w:pPr>
      <w:r>
        <w:rPr>
          <w:rFonts w:ascii="Calibri" w:cs="Calibri" w:eastAsia="Calibri" w:hAnsi="Calibri"/>
          <w:sz w:val="20"/>
          <w:szCs w:val="20"/>
        </w:rPr>
        <w:t xml:space="preserve">Downloaded the complete report as an .xlsx file and saved the DNS map generated by DNSDumpster (both submitted with this document).</w:t>
      </w:r>
    </w:p>
    <w:p>
      <w:pPr>
        <w:spacing w:after="120"/>
      </w:pPr>
      <w:r>
        <w:rPr>
          <w:rFonts w:ascii="Calibri" w:cs="Calibri" w:eastAsia="Calibri" w:hAnsi="Calibri"/>
          <w:i/>
          <w:iCs/>
          <w:sz w:val="20"/>
          <w:szCs w:val="20"/>
        </w:rPr>
        <w:t xml:space="preserve">The test is passive: DNSDumpster collects data from public DNS and internet-scan sources, so no packets were sent to TCS systems by the student. A zone transfer (AXFR) attempt is not part of this tool, so this report makes no claim about zone-transfer exposure.</w:t>
      </w:r>
    </w:p>
    <w:p>
      <w:pPr>
        <w:pStyle w:val="Heading1"/>
        <w:spacing w:after="120" w:before="280"/>
      </w:pPr>
      <w:r>
        <w:rPr>
          <w:rFonts w:ascii="Calibri" w:cs="Calibri" w:eastAsia="Calibri" w:hAnsi="Calibri"/>
          <w:b/>
          <w:bCs/>
          <w:color w:val="1F3864"/>
          <w:sz w:val="28"/>
          <w:szCs w:val="28"/>
        </w:rPr>
        <w:t xml:space="preserve">3. DNS Footprinting Results</w:t>
      </w:r>
    </w:p>
    <w:p>
      <w:pPr>
        <w:pStyle w:val="Heading2"/>
        <w:spacing w:after="100" w:before="200"/>
      </w:pPr>
      <w:r>
        <w:rPr>
          <w:rFonts w:ascii="Calibri" w:cs="Calibri" w:eastAsia="Calibri" w:hAnsi="Calibri"/>
          <w:b/>
          <w:bCs/>
          <w:color w:val="2E5597"/>
          <w:sz w:val="24"/>
          <w:szCs w:val="24"/>
        </w:rPr>
        <w:t xml:space="preserve">3.1 Overview of records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Record type</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Count</w:t>
            </w:r>
          </w:p>
        </w:tc>
        <w:tc>
          <w:tcPr>
            <w:tcW w:type="dxa" w:w="3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Meaning</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 (host) records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50</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Subdomains pointing to IPv4 addresses</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 (mail exchanger) records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14</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Servers that receive email for tcs.com, all at priority 10</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 (name server) records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ns3, ns5, ns6, ns7, ns8</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Total records in report</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69</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Rows in the "DNS Records" sheet</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Unique IP addresses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61</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Distinct addresses across all records</w:t>
            </w:r>
          </w:p>
        </w:tc>
      </w:tr>
    </w:tbl>
    <w:p>
      <w:pPr>
        <w:pStyle w:val="Heading2"/>
        <w:spacing w:after="100" w:before="200"/>
      </w:pPr>
      <w:r>
        <w:rPr>
          <w:rFonts w:ascii="Calibri" w:cs="Calibri" w:eastAsia="Calibri" w:hAnsi="Calibri"/>
          <w:b/>
          <w:bCs/>
          <w:color w:val="2E5597"/>
          <w:sz w:val="24"/>
          <w:szCs w:val="24"/>
        </w:rPr>
        <w:t xml:space="preserve">3.2 Name servers (NS)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700"/>
        <w:gridCol w:w="1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Name server</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IP address</w:t>
            </w:r>
          </w:p>
        </w:tc>
        <w:tc>
          <w:tcPr>
            <w:tcW w:type="dxa" w:w="3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Network owner</w:t>
            </w:r>
          </w:p>
        </w:tc>
        <w:tc>
          <w:tcPr>
            <w:tcW w:type="dxa" w:w="1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Country</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ns5.tcs.com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208.44.114.53</w:t>
            </w:r>
          </w:p>
        </w:tc>
        <w:tc>
          <w:tcPr>
            <w:tcW w:type="dxa" w:w="3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Lumen/Level 3 - Level 3 Parent, LLC</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United States</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ns7.tcs.com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20.198.79.235</w:t>
            </w:r>
          </w:p>
        </w:tc>
        <w:tc>
          <w:tcPr>
            <w:tcW w:type="dxa" w:w="3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ns8.tcs.com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45.249.218.123</w:t>
            </w:r>
          </w:p>
        </w:tc>
        <w:tc>
          <w:tcPr>
            <w:tcW w:type="dxa" w:w="3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ns6.tcs.com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80.82.129.169</w:t>
            </w:r>
          </w:p>
        </w:tc>
        <w:tc>
          <w:tcPr>
            <w:tcW w:type="dxa" w:w="3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GTT Communications</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United Kingdom</w:t>
            </w:r>
          </w:p>
        </w:tc>
      </w:tr>
      <w:t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ns3.tcs.com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59.144.131.16</w:t>
            </w:r>
          </w:p>
        </w:tc>
        <w:tc>
          <w:tcPr>
            <w:tcW w:type="dxa" w:w="3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bl>
    <w:p>
      <w:pPr>
        <w:spacing w:after="8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E5597"/>
          <w:sz w:val="24"/>
          <w:szCs w:val="24"/>
        </w:rPr>
        <w:t xml:space="preserve">3.3 Mail servers (MX)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3200"/>
        <w:gridCol w:w="16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Mail host (priority 10)</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IP address</w:t>
            </w:r>
          </w:p>
        </w:tc>
        <w:tc>
          <w:tcPr>
            <w:tcW w:type="dxa" w:w="3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Network owner</w:t>
            </w:r>
          </w:p>
        </w:tc>
        <w:tc>
          <w:tcPr>
            <w:tcW w:type="dxa" w:w="1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Country</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uklong01.tcs.com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80.82.129.165</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GTT Communications</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United Kingdom</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inchng04.tcs.com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122.184.60.109</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inblrg03.tcs.com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121.242.48.29</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inchng01.tcs.com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122.184.60.13</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inmumg02.tcs.com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219.64.33.222</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inchng02.tcs.com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122.184.60.14</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inmumg04.tcs.com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45.249.218.97</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inblrg04.tcs.com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121.242.48.30</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inblrg05.tcs.com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121.242.48.31</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inmumg05.tcs.com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45.249.218.122</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inchng05.tcs.com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122.184.60.134</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inmumg01.tcs.com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219.64.33.12</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inblrg01.tcs.com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usnjyg01.tcs.com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208.44.114.64</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Lumen/Level 3 - Level 3 Parent, LLC</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United States</w:t>
            </w:r>
          </w:p>
        </w:tc>
      </w:tr>
    </w:tbl>
    <w:p>
      <w:pPr>
        <w:spacing w:after="8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E5597"/>
          <w:sz w:val="24"/>
          <w:szCs w:val="24"/>
        </w:rPr>
        <w:t xml:space="preserve">3.4 Top networks (ASN), banners and countries from the Summary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960"/>
        <w:gridCol w:w="10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ASN</w:t>
            </w:r>
          </w:p>
        </w:tc>
        <w:tc>
          <w:tcPr>
            <w:tcW w:type="dxa" w:w="5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Network name</w:t>
            </w:r>
          </w:p>
        </w:tc>
        <w:tc>
          <w:tcPr>
            <w:tcW w:type="dxa" w:w="19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Range</w:t>
            </w:r>
          </w:p>
        </w:tc>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Hosts</w:t>
            </w:r>
          </w:p>
        </w:tc>
      </w:tr>
      <w:tr>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4755</w:t>
            </w:r>
          </w:p>
        </w:tc>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(formerly VSNL), IN</w:t>
            </w:r>
          </w:p>
        </w:tc>
        <w:tc>
          <w:tcPr>
            <w:tcW w:type="dxa" w:w="19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121.242.48.0/22</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32</w:t>
            </w:r>
          </w:p>
        </w:tc>
      </w:tr>
      <w:tr>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9498</w:t>
            </w:r>
          </w:p>
        </w:tc>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Ltd., IN</w:t>
            </w:r>
          </w:p>
        </w:tc>
        <w:tc>
          <w:tcPr>
            <w:tcW w:type="dxa" w:w="19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59.144.0.0/15</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13</w:t>
            </w:r>
          </w:p>
        </w:tc>
      </w:tr>
      <w:tr>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8075</w:t>
            </w:r>
          </w:p>
        </w:tc>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Corporation</w:t>
            </w:r>
          </w:p>
        </w:tc>
        <w:tc>
          <w:tcPr>
            <w:tcW w:type="dxa" w:w="19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20.192.0.0/10</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8</w:t>
            </w:r>
          </w:p>
        </w:tc>
      </w:tr>
      <w:tr>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131265</w:t>
            </w:r>
          </w:p>
        </w:tc>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Limited, IN</w:t>
            </w:r>
          </w:p>
        </w:tc>
        <w:tc>
          <w:tcPr>
            <w:tcW w:type="dxa" w:w="19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45.249.218.0/24</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w:t>
            </w:r>
          </w:p>
        </w:tc>
      </w:tr>
      <w:tr>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10753</w:t>
            </w:r>
          </w:p>
        </w:tc>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Level 3 Parent, LLC (Lumen)</w:t>
            </w:r>
          </w:p>
        </w:tc>
        <w:tc>
          <w:tcPr>
            <w:tcW w:type="dxa" w:w="19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208.44.114.0/24</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3</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000"/>
        <w:gridCol w:w="3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HTTP banner seen</w:t>
            </w:r>
          </w:p>
        </w:tc>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Count</w:t>
            </w:r>
          </w:p>
        </w:tc>
        <w:tc>
          <w:tcPr>
            <w:tcW w:type="dxa" w:w="36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Top countries (hosts)</w:t>
            </w:r>
          </w:p>
        </w:tc>
      </w:tr>
      <w:tr>
        <w:tc>
          <w:tcPr>
            <w:tcW w:type="dxa" w:w="4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cloudflare</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w:t>
            </w:r>
          </w:p>
        </w:tc>
        <w:tc>
          <w:tcPr>
            <w:tcW w:type="dxa" w:w="3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India (56)</w:t>
            </w:r>
          </w:p>
        </w:tc>
      </w:tr>
      <w:tr>
        <w:tc>
          <w:tcPr>
            <w:tcW w:type="dxa" w:w="4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Microsoft-Azure-Application-Gateway/v2</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w:t>
            </w:r>
          </w:p>
        </w:tc>
        <w:tc>
          <w:tcPr>
            <w:tcW w:type="dxa" w:w="3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United States (6)</w:t>
            </w:r>
          </w:p>
        </w:tc>
      </w:tr>
      <w:tr>
        <w:tc>
          <w:tcPr>
            <w:tcW w:type="dxa" w:w="4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AkamaiGHost</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w:t>
            </w:r>
          </w:p>
        </w:tc>
        <w:tc>
          <w:tcPr>
            <w:tcW w:type="dxa" w:w="3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United Kingdom (2)</w:t>
            </w:r>
          </w:p>
        </w:tc>
      </w:tr>
      <w:tr>
        <w:tc>
          <w:tcPr>
            <w:tcW w:type="dxa" w:w="4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Apache</w:t>
            </w:r>
          </w:p>
        </w:tc>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w:t>
            </w:r>
          </w:p>
        </w:tc>
        <w:tc>
          <w:tcPr>
            <w:tcW w:type="dxa" w:w="36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Ireland (1), Brazil (1)</w:t>
            </w:r>
          </w:p>
        </w:tc>
      </w:tr>
    </w:tbl>
    <w:p>
      <w:pPr>
        <w:pStyle w:val="Heading2"/>
        <w:spacing w:after="100" w:before="200"/>
      </w:pPr>
      <w:r>
        <w:rPr>
          <w:rFonts w:ascii="Calibri" w:cs="Calibri" w:eastAsia="Calibri" w:hAnsi="Calibri"/>
          <w:b/>
          <w:bCs/>
          <w:color w:val="2E5597"/>
          <w:sz w:val="24"/>
          <w:szCs w:val="24"/>
        </w:rPr>
        <w:t xml:space="preserve">3.5 Hosts with an HTTP/HTTPS service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Host</w:t>
            </w:r>
          </w:p>
        </w:tc>
        <w:tc>
          <w:tcPr>
            <w:tcW w:type="dxa" w:w="1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IP address</w:t>
            </w:r>
          </w:p>
        </w:tc>
        <w:tc>
          <w:tcPr>
            <w:tcW w:type="dxa" w:w="51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Service reported by DNSDumpster</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www.alumniportal.tcs.com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20.193.149.15</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HTTPS: Microsoft-Azure-Application-Gateway/v2 - 404 Not Found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assets.tcs.com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23.54.208.40</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 AkamaiGHost - Invalid URL | HTTPS: AkamaiGHost - Invalid URL</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bancssupport.tcs.com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121.241.193.21</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HTTPS: Apache - TCS BaNCS Bugzilla Support Main Page</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bodapp.tcs.com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203.199.20.249</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HTTPS:  - Request Rejected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careers.tcs.com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4.247.162.6</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HTTPS: Microsoft-Azure-Application-Gateway/v2 - 404 Not Found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grs.tcs.com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219.64.34.57</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HTTPS:  - Request Rejected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info.tcs.com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104.17.72.206</w:t>
            </w:r>
          </w:p>
        </w:tc>
        <w:tc>
          <w:tcPr>
            <w:tcW w:type="dxa" w:w="51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HTTP: cloudflare | HTTPS: cloudflare - 403 Forbidden</w:t>
            </w:r>
          </w:p>
        </w:tc>
      </w:tr>
    </w:tbl>
    <w:p>
      <w:pPr>
        <w:spacing w:after="8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E5597"/>
          <w:sz w:val="24"/>
          <w:szCs w:val="24"/>
        </w:rPr>
        <w:t xml:space="preserve">3.6 DNS map</w:t>
      </w:r>
    </w:p>
    <w:p>
      <w:pPr>
        <w:spacing w:after="120"/>
      </w:pPr>
      <w:r>
        <w:rPr>
          <w:rFonts w:ascii="Calibri" w:cs="Calibri" w:eastAsia="Calibri" w:hAnsi="Calibri"/>
          <w:sz w:val="22"/>
          <w:szCs w:val="22"/>
        </w:rPr>
        <w:t xml:space="preserve">The map below was generated by DNSDumpster for tcs.com. It shows the domain at the left, the DNS and MX groups, the individual hosts, and the IP/netblock groups they resolve to (for example TCS eServe 45.249.218.0/24, Level 3 208.44.114.0/24, Bharti Airtel 122.184.60.0/24 and GTT 80.82.128.0/20).</w:t>
      </w:r>
    </w:p>
    <w:p>
      <w:pPr>
        <w:spacing w:after="80"/>
        <w:jc w:val="center"/>
      </w:pPr>
      <w:r>
        <w:drawing>
          <wp:inline distT="0" distB="0" distL="0" distR="0">
            <wp:extent cx="5905500" cy="3048000"/>
            <wp:effectExtent t="0" r="0" b="0" l="0"/>
            <wp:docPr id="1" name="dnsmap" descr="DNS map of tcs.com generated by DNSDumpster" title="DNSDumpst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48000"/>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1: DNSDumpster map for tcs.com (upper portion of the generated map).</w:t>
      </w:r>
    </w:p>
    <w:p>
      <w:pPr>
        <w:pStyle w:val="Heading1"/>
        <w:spacing w:after="120" w:before="280"/>
      </w:pPr>
      <w:r>
        <w:rPr>
          <w:rFonts w:ascii="Calibri" w:cs="Calibri" w:eastAsia="Calibri" w:hAnsi="Calibri"/>
          <w:b/>
          <w:bCs/>
          <w:color w:val="1F3864"/>
          <w:sz w:val="28"/>
          <w:szCs w:val="28"/>
        </w:rPr>
        <w:t xml:space="preserve">4. Interpretation of the DNS Information</w:t>
      </w:r>
    </w:p>
    <w:p>
      <w:pPr>
        <w:pStyle w:val="ListParagraph"/>
        <w:numPr>
          <w:ilvl w:val="0"/>
          <w:numId w:val="3"/>
        </w:numPr>
        <w:spacing w:after="60"/>
      </w:pPr>
      <w:r>
        <w:rPr>
          <w:rFonts w:ascii="Calibri" w:cs="Calibri" w:eastAsia="Calibri" w:hAnsi="Calibri"/>
          <w:sz w:val="21"/>
          <w:szCs w:val="21"/>
        </w:rPr>
        <w:t xml:space="preserve">Five name servers sit on five different networks (Level 3/Lumen in the US, Microsoft in India, TCS eServe in India, GTT in the UK, Airtel in India). Spreading authoritative DNS across providers and countries is good practice for availability.</w:t>
      </w:r>
    </w:p>
    <w:p>
      <w:pPr>
        <w:pStyle w:val="ListParagraph"/>
        <w:numPr>
          <w:ilvl w:val="0"/>
          <w:numId w:val="3"/>
        </w:numPr>
        <w:spacing w:after="60"/>
      </w:pPr>
      <w:r>
        <w:rPr>
          <w:rFonts w:ascii="Calibri" w:cs="Calibri" w:eastAsia="Calibri" w:hAnsi="Calibri"/>
          <w:sz w:val="21"/>
          <w:szCs w:val="21"/>
        </w:rPr>
        <w:t xml:space="preserve">The 14 MX hosts all share priority 10, so mail is load-balanced across them. They are spread over Tata Communications (Bangalore, Mumbai, Delhi style names), Airtel (Chennai), TCS eServe, Lumen (US) and GTT (UK). Mail is handled by TCS-run gateways, not a third-party hosted mail service.</w:t>
      </w:r>
    </w:p>
    <w:p>
      <w:pPr>
        <w:pStyle w:val="ListParagraph"/>
        <w:numPr>
          <w:ilvl w:val="0"/>
          <w:numId w:val="3"/>
        </w:numPr>
        <w:spacing w:after="60"/>
      </w:pPr>
      <w:r>
        <w:rPr>
          <w:rFonts w:ascii="Calibri" w:cs="Calibri" w:eastAsia="Calibri" w:hAnsi="Calibri"/>
          <w:sz w:val="21"/>
          <w:szCs w:val="21"/>
        </w:rPr>
        <w:t xml:space="preserve">Host names follow a location-and-number pattern such as inblrg01, inchng01, inmumg01, indelg01, uklong01 and usnjyg01: a two-letter country code, a city code, a role letter and a serial number. This reveals where TCS runs mail and infrastructure sites.</w:t>
      </w:r>
    </w:p>
    <w:p>
      <w:pPr>
        <w:pStyle w:val="ListParagraph"/>
        <w:numPr>
          <w:ilvl w:val="0"/>
          <w:numId w:val="3"/>
        </w:numPr>
        <w:spacing w:after="60"/>
      </w:pPr>
      <w:r>
        <w:rPr>
          <w:rFonts w:ascii="Calibri" w:cs="Calibri" w:eastAsia="Calibri" w:hAnsi="Calibri"/>
          <w:sz w:val="21"/>
          <w:szCs w:val="21"/>
        </w:rPr>
        <w:t xml:space="preserve">Cloud use is visible: 8 hosts are on Microsoft Azure (Application Gateway banners on the alumni portal and careers hosts), assets.tcs.com is behind Akamai, info.tcs.com is behind Cloudflare, and bounce.tcs.com is on Amazon in Ireland.</w:t>
      </w:r>
    </w:p>
    <w:p>
      <w:pPr>
        <w:pStyle w:val="ListParagraph"/>
        <w:numPr>
          <w:ilvl w:val="0"/>
          <w:numId w:val="3"/>
        </w:numPr>
        <w:spacing w:after="60"/>
      </w:pPr>
      <w:r>
        <w:rPr>
          <w:rFonts w:ascii="Calibri" w:cs="Calibri" w:eastAsia="Calibri" w:hAnsi="Calibri"/>
          <w:sz w:val="21"/>
          <w:szCs w:val="21"/>
        </w:rPr>
        <w:t xml:space="preserve">Most records (56 of the 69) are in India, with the rest in the US, UK, Ireland, Brazil, Hungary and Switzerland (one is unlocated), matching TCS regional operations.</w:t>
      </w:r>
    </w:p>
    <w:p>
      <w:pPr>
        <w:pStyle w:val="Heading1"/>
        <w:spacing w:after="120" w:before="280"/>
      </w:pPr>
      <w:r>
        <w:rPr>
          <w:rFonts w:ascii="Calibri" w:cs="Calibri" w:eastAsia="Calibri" w:hAnsi="Calibri"/>
          <w:b/>
          <w:bCs/>
          <w:color w:val="1F3864"/>
          <w:sz w:val="28"/>
          <w:szCs w:val="28"/>
        </w:rPr>
        <w:t xml:space="preserve">5. Analysis of the DNS Infrastructure and Security Significance</w:t>
      </w:r>
    </w:p>
    <w:p>
      <w:pPr>
        <w:spacing w:after="120"/>
      </w:pPr>
      <w:r>
        <w:rPr>
          <w:rFonts w:ascii="Calibri" w:cs="Calibri" w:eastAsia="Calibri" w:hAnsi="Calibri"/>
          <w:sz w:val="22"/>
          <w:szCs w:val="22"/>
        </w:rPr>
        <w:t xml:space="preserve">The points below are observations from public DNS data. They describe exposure and risk; they are not confirmed vulnerabilities, and no host was probed.</w:t>
      </w:r>
    </w:p>
    <w:p>
      <w:pPr>
        <w:pStyle w:val="Heading2"/>
        <w:spacing w:after="100" w:before="200"/>
      </w:pPr>
      <w:r>
        <w:rPr>
          <w:rFonts w:ascii="Calibri" w:cs="Calibri" w:eastAsia="Calibri" w:hAnsi="Calibri"/>
          <w:b/>
          <w:bCs/>
          <w:color w:val="2E5597"/>
          <w:sz w:val="24"/>
          <w:szCs w:val="24"/>
        </w:rPr>
        <w:t xml:space="preserve">5.1 Non-production and internal-purpose hostnames are public</w:t>
      </w:r>
    </w:p>
    <w:p>
      <w:pPr>
        <w:spacing w:after="120"/>
      </w:pPr>
      <w:r>
        <w:rPr>
          <w:rFonts w:ascii="Calibri" w:cs="Calibri" w:eastAsia="Calibri" w:hAnsi="Calibri"/>
          <w:sz w:val="22"/>
          <w:szCs w:val="22"/>
        </w:rPr>
        <w:t xml:space="preserve">Names such as apgasia-preprod2, awuat, hob-sit, apgasia-assets and apgeus-assets suggest pre-production, UAT, SIT and asset environments. Test environments are often less hardened and less monitored than production, so they are attractive targets and give an attacker clues about internal projects and naming.</w:t>
      </w:r>
    </w:p>
    <w:p>
      <w:pPr>
        <w:pStyle w:val="Heading2"/>
        <w:spacing w:after="100" w:before="200"/>
      </w:pPr>
      <w:r>
        <w:rPr>
          <w:rFonts w:ascii="Calibri" w:cs="Calibri" w:eastAsia="Calibri" w:hAnsi="Calibri"/>
          <w:b/>
          <w:bCs/>
          <w:color w:val="2E5597"/>
          <w:sz w:val="24"/>
          <w:szCs w:val="24"/>
        </w:rPr>
        <w:t xml:space="preserve">5.2 VPN and remote-access endpoints are discoverable</w:t>
      </w:r>
    </w:p>
    <w:p>
      <w:pPr>
        <w:spacing w:after="120"/>
      </w:pPr>
      <w:r>
        <w:rPr>
          <w:rFonts w:ascii="Calibri" w:cs="Calibri" w:eastAsia="Calibri" w:hAnsi="Calibri"/>
          <w:sz w:val="22"/>
          <w:szCs w:val="22"/>
        </w:rPr>
        <w:t xml:space="preserve">Hostnames hungaryvpn, emeaswzprovpn02 and inhyverizonvpn reveal remote-access gateways, their regions and in one case a partner or customer name. VPN endpoints are common targets for credential-stuffing and phishing that imitates the VPN sign-in page.</w:t>
      </w:r>
    </w:p>
    <w:p>
      <w:pPr>
        <w:pStyle w:val="Heading2"/>
        <w:spacing w:after="100" w:before="200"/>
      </w:pPr>
      <w:r>
        <w:rPr>
          <w:rFonts w:ascii="Calibri" w:cs="Calibri" w:eastAsia="Calibri" w:hAnsi="Calibri"/>
          <w:b/>
          <w:bCs/>
          <w:color w:val="2E5597"/>
          <w:sz w:val="24"/>
          <w:szCs w:val="24"/>
        </w:rPr>
        <w:t xml:space="preserve">5.3 Mail infrastructure shows the email attack surface</w:t>
      </w:r>
    </w:p>
    <w:p>
      <w:pPr>
        <w:spacing w:after="120"/>
      </w:pPr>
      <w:r>
        <w:rPr>
          <w:rFonts w:ascii="Calibri" w:cs="Calibri" w:eastAsia="Calibri" w:hAnsi="Calibri"/>
          <w:sz w:val="22"/>
          <w:szCs w:val="22"/>
        </w:rPr>
        <w:t xml:space="preserve">Fourteen self-run MX hosts and autodiscover.tcs.com (on TCS eServe address space) show where email enters the organisation. Self-hosted mail gateways must be patched promptly and protected with sender-authentication controls. The DNSDumpster export used here does not include TXT records, so SPF, DKIM and DMARC settings could not be assessed and should be checked separately.</w:t>
      </w:r>
    </w:p>
    <w:p>
      <w:pPr>
        <w:pStyle w:val="Heading2"/>
        <w:spacing w:after="100" w:before="200"/>
      </w:pPr>
      <w:r>
        <w:rPr>
          <w:rFonts w:ascii="Calibri" w:cs="Calibri" w:eastAsia="Calibri" w:hAnsi="Calibri"/>
          <w:b/>
          <w:bCs/>
          <w:color w:val="2E5597"/>
          <w:sz w:val="24"/>
          <w:szCs w:val="24"/>
        </w:rPr>
        <w:t xml:space="preserve">5.4 Service banners and page titles disclose technology</w:t>
      </w:r>
    </w:p>
    <w:p>
      <w:pPr>
        <w:spacing w:after="120"/>
      </w:pPr>
      <w:r>
        <w:rPr>
          <w:rFonts w:ascii="Calibri" w:cs="Calibri" w:eastAsia="Calibri" w:hAnsi="Calibri"/>
          <w:sz w:val="22"/>
          <w:szCs w:val="22"/>
        </w:rPr>
        <w:t xml:space="preserve">Banners show Microsoft Azure Application Gateway, AkamaiGHost, Cloudflare and Apache. The host bancssupport.tcs.com returned a page titled as a TCS BaNCS Bugzilla support page, revealing a product name and that an issue tracker is internet-facing. Knowing the technology lets an attacker look up version-specific weaknesses and craft convincing lures.</w:t>
      </w:r>
    </w:p>
    <w:p>
      <w:pPr>
        <w:pStyle w:val="Heading2"/>
        <w:spacing w:after="100" w:before="200"/>
      </w:pPr>
      <w:r>
        <w:rPr>
          <w:rFonts w:ascii="Calibri" w:cs="Calibri" w:eastAsia="Calibri" w:hAnsi="Calibri"/>
          <w:b/>
          <w:bCs/>
          <w:color w:val="2E5597"/>
          <w:sz w:val="24"/>
          <w:szCs w:val="24"/>
        </w:rPr>
        <w:t xml:space="preserve">5.5 Positive findings</w:t>
      </w:r>
    </w:p>
    <w:p>
      <w:pPr>
        <w:pStyle w:val="ListParagraph"/>
        <w:numPr>
          <w:ilvl w:val="0"/>
          <w:numId w:val="3"/>
        </w:numPr>
        <w:spacing w:after="60"/>
      </w:pPr>
      <w:r>
        <w:rPr>
          <w:rFonts w:ascii="Calibri" w:cs="Calibri" w:eastAsia="Calibri" w:hAnsi="Calibri"/>
          <w:sz w:val="21"/>
          <w:szCs w:val="21"/>
        </w:rPr>
        <w:t xml:space="preserve">bodapp.tcs.com and grs.tcs.com returned "Request Rejected", which is consistent with a web application firewall blocking unsolicited requests.</w:t>
      </w:r>
    </w:p>
    <w:p>
      <w:pPr>
        <w:pStyle w:val="ListParagraph"/>
        <w:numPr>
          <w:ilvl w:val="0"/>
          <w:numId w:val="3"/>
        </w:numPr>
        <w:spacing w:after="60"/>
      </w:pPr>
      <w:r>
        <w:rPr>
          <w:rFonts w:ascii="Calibri" w:cs="Calibri" w:eastAsia="Calibri" w:hAnsi="Calibri"/>
          <w:sz w:val="21"/>
          <w:szCs w:val="21"/>
        </w:rPr>
        <w:t xml:space="preserve">Public-facing sites use content-delivery and security front doors (Cloudflare, Akamai, Azure Application Gateway).</w:t>
      </w:r>
    </w:p>
    <w:p>
      <w:pPr>
        <w:pStyle w:val="ListParagraph"/>
        <w:numPr>
          <w:ilvl w:val="0"/>
          <w:numId w:val="3"/>
        </w:numPr>
        <w:spacing w:after="60"/>
      </w:pPr>
      <w:r>
        <w:rPr>
          <w:rFonts w:ascii="Calibri" w:cs="Calibri" w:eastAsia="Calibri" w:hAnsi="Calibri"/>
          <w:sz w:val="21"/>
          <w:szCs w:val="21"/>
        </w:rPr>
        <w:t xml:space="preserve">DNS is resilient: five name servers on five networks and countries.</w:t>
      </w:r>
    </w:p>
    <w:p>
      <w:pPr>
        <w:pStyle w:val="Heading2"/>
        <w:spacing w:after="100" w:before="200"/>
      </w:pPr>
      <w:r>
        <w:rPr>
          <w:rFonts w:ascii="Calibri" w:cs="Calibri" w:eastAsia="Calibri" w:hAnsi="Calibri"/>
          <w:b/>
          <w:bCs/>
          <w:color w:val="2E5597"/>
          <w:sz w:val="24"/>
          <w:szCs w:val="24"/>
        </w:rPr>
        <w:t xml:space="preserve">5.6 Use in social engineering</w:t>
      </w:r>
    </w:p>
    <w:p>
      <w:pPr>
        <w:pStyle w:val="ListParagraph"/>
        <w:numPr>
          <w:ilvl w:val="0"/>
          <w:numId w:val="3"/>
        </w:numPr>
        <w:spacing w:after="60"/>
      </w:pPr>
      <w:r>
        <w:rPr>
          <w:rFonts w:ascii="Calibri" w:cs="Calibri" w:eastAsia="Calibri" w:hAnsi="Calibri"/>
          <w:sz w:val="21"/>
          <w:szCs w:val="21"/>
        </w:rPr>
        <w:t xml:space="preserve">Pretexting: an attacker can quote real host names such as a VPN gateway, a UAT system or the BaNCS support site to sound like internal IT or a vendor.</w:t>
      </w:r>
    </w:p>
    <w:p>
      <w:pPr>
        <w:pStyle w:val="ListParagraph"/>
        <w:numPr>
          <w:ilvl w:val="0"/>
          <w:numId w:val="3"/>
        </w:numPr>
        <w:spacing w:after="60"/>
      </w:pPr>
      <w:r>
        <w:rPr>
          <w:rFonts w:ascii="Calibri" w:cs="Calibri" w:eastAsia="Calibri" w:hAnsi="Calibri"/>
          <w:sz w:val="21"/>
          <w:szCs w:val="21"/>
        </w:rPr>
        <w:t xml:space="preserve">Phishing: look-alike pages for the VPN, webmail, careers or alumni portals are easier to build once the real host names and technologies are known.</w:t>
      </w:r>
    </w:p>
    <w:p>
      <w:pPr>
        <w:pStyle w:val="ListParagraph"/>
        <w:numPr>
          <w:ilvl w:val="0"/>
          <w:numId w:val="3"/>
        </w:numPr>
        <w:spacing w:after="60"/>
      </w:pPr>
      <w:r>
        <w:rPr>
          <w:rFonts w:ascii="Calibri" w:cs="Calibri" w:eastAsia="Calibri" w:hAnsi="Calibri"/>
          <w:sz w:val="21"/>
          <w:szCs w:val="21"/>
        </w:rPr>
        <w:t xml:space="preserve">Targeting: location-coded mail hosts show which cities hold mail infrastructure, helping an attacker choose a believable story for a call to a regional help desk.</w:t>
      </w:r>
    </w:p>
    <w:p>
      <w:pPr>
        <w:pStyle w:val="Heading1"/>
        <w:spacing w:after="120" w:before="280"/>
      </w:pPr>
      <w:r>
        <w:rPr>
          <w:rFonts w:ascii="Calibri" w:cs="Calibri" w:eastAsia="Calibri" w:hAnsi="Calibri"/>
          <w:b/>
          <w:bCs/>
          <w:color w:val="1F3864"/>
          <w:sz w:val="28"/>
          <w:szCs w:val="28"/>
        </w:rPr>
        <w:t xml:space="preserve">6.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Area</w:t>
            </w:r>
          </w:p>
        </w:tc>
        <w:tc>
          <w:tcPr>
            <w:tcW w:type="dxa" w:w="64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Recommended control</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Non-production hosts</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Remove public DNS records for pre-prod, UAT and SIT systems, or restrict them to VPN and allow-listed addresses; keep their hardening equal to production.</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Naming hygiene</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Avoid names that reveal partners, environments or internal projects; use neutral names for infrastructure hosts.</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VPN and remote access</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Require multi-factor authentication, rate-limit logins, monitor for look-alike domains and block brute-force attempts.</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Mail security</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Enforce SPF, DKIM and DMARC with a reject policy, enable TLS for mail, keep gateways patched, and filter inbound mail for phishing and malware.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Banner and page exposure</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Remove version information from server banners and error pages; put support and issue-tracker sites behind authentication.</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DNS configuration</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Restrict zone transfers to authorised secondary servers only, review stale records regularly and enable DNSSEC where suitable.</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Continuous monitoring</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Re-run DNS footprinting regularly as a self-audit and compare against an approved asset inventory.</w:t>
            </w:r>
          </w:p>
        </w:tc>
      </w:tr>
      <w:t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Awareness</w:t>
            </w:r>
          </w:p>
        </w:tc>
        <w:tc>
          <w:tcPr>
            <w:tcW w:type="dxa" w:w="6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Train staff on pretexting and phishing that uses real infrastructure names, and provide a simple way to report suspicious contact.</w:t>
            </w:r>
          </w:p>
        </w:tc>
      </w:tr>
    </w:tbl>
    <w:p>
      <w:pPr>
        <w:pStyle w:val="Heading1"/>
        <w:spacing w:after="120" w:before="280"/>
      </w:pPr>
      <w:r>
        <w:rPr>
          <w:rFonts w:ascii="Calibri" w:cs="Calibri" w:eastAsia="Calibri" w:hAnsi="Calibri"/>
          <w:b/>
          <w:bCs/>
          <w:color w:val="1F3864"/>
          <w:sz w:val="28"/>
          <w:szCs w:val="28"/>
        </w:rPr>
        <w:t xml:space="preserve">7. Conclusion</w:t>
      </w:r>
    </w:p>
    <w:p>
      <w:pPr>
        <w:spacing w:after="120"/>
      </w:pPr>
      <w:r>
        <w:rPr>
          <w:rFonts w:ascii="Calibri" w:cs="Calibri" w:eastAsia="Calibri" w:hAnsi="Calibri"/>
          <w:sz w:val="22"/>
          <w:szCs w:val="22"/>
        </w:rPr>
        <w:t xml:space="preserve">DNSDumpster found 69 records for tcs.com: 50 hosts, 14 mail servers and 5 name servers across 61 unique IP addresses, mostly in Indian networks (Tata Communications and Airtel) with cloud and CDN use on Azure, Akamai, Cloudflare and Amazon. The DNS design is resilient and several sites sit behind firewalls or CDNs. The main exposure is informational: public names for non-production systems, VPN gateways, a support portal and location-coded mail servers help an attacker plan phishing and pretexting. Tighter DNS hygiene, MFA on remote access, strong email authentication and staff awareness reduce that risk.</w:t>
      </w:r>
    </w:p>
    <w:p>
      <w:pPr>
        <w:pStyle w:val="Heading1"/>
        <w:spacing w:after="120" w:before="280"/>
      </w:pPr>
      <w:r>
        <w:rPr>
          <w:rFonts w:ascii="Calibri" w:cs="Calibri" w:eastAsia="Calibri" w:hAnsi="Calibri"/>
          <w:b/>
          <w:bCs/>
          <w:color w:val="1F3864"/>
          <w:sz w:val="28"/>
          <w:szCs w:val="28"/>
        </w:rPr>
        <w:t xml:space="preserve">8. Evidence Submitted</w:t>
      </w:r>
    </w:p>
    <w:p>
      <w:pPr>
        <w:pStyle w:val="ListParagraph"/>
        <w:numPr>
          <w:ilvl w:val="0"/>
          <w:numId w:val="3"/>
        </w:numPr>
        <w:spacing w:after="60"/>
      </w:pPr>
      <w:r>
        <w:rPr>
          <w:rFonts w:ascii="Calibri" w:cs="Calibri" w:eastAsia="Calibri" w:hAnsi="Calibri"/>
          <w:sz w:val="21"/>
          <w:szCs w:val="21"/>
        </w:rPr>
        <w:t xml:space="preserve">DNSDumpster report: tcs.com-bbccc39e-2062-45df-b501-e6e86ec7062f.xlsx (sheets: Summary, DNS Records).</w:t>
      </w:r>
    </w:p>
    <w:p>
      <w:pPr>
        <w:pStyle w:val="ListParagraph"/>
        <w:numPr>
          <w:ilvl w:val="0"/>
          <w:numId w:val="3"/>
        </w:numPr>
        <w:spacing w:after="60"/>
      </w:pPr>
      <w:r>
        <w:rPr>
          <w:rFonts w:ascii="Calibri" w:cs="Calibri" w:eastAsia="Calibri" w:hAnsi="Calibri"/>
          <w:sz w:val="21"/>
          <w:szCs w:val="21"/>
        </w:rPr>
        <w:t xml:space="preserve">DNSDumpster map image for tcs.com (Figure 1).</w:t>
      </w:r>
    </w:p>
    <w:p>
      <w:pPr>
        <w:pStyle w:val="Heading1"/>
        <w:spacing w:after="120" w:before="280"/>
      </w:pPr>
      <w:r>
        <w:rPr>
          <w:rFonts w:ascii="Calibri" w:cs="Calibri" w:eastAsia="Calibri" w:hAnsi="Calibri"/>
          <w:b/>
          <w:bCs/>
          <w:color w:val="1F3864"/>
          <w:sz w:val="28"/>
          <w:szCs w:val="28"/>
        </w:rPr>
        <w:t xml:space="preserve">Appendix A: Full DNS Records from the Downloaded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800"/>
        <w:gridCol w:w="38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Host</w:t>
            </w:r>
          </w:p>
        </w:tc>
        <w:tc>
          <w:tcPr>
            <w:tcW w:type="dxa" w:w="1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IP address</w:t>
            </w:r>
          </w:p>
        </w:tc>
        <w:tc>
          <w:tcPr>
            <w:tcW w:type="dxa" w:w="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Type</w:t>
            </w:r>
          </w:p>
        </w:tc>
        <w:tc>
          <w:tcPr>
            <w:tcW w:type="dxa" w:w="38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Network owner</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agilespace.tcs.com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219.64.33.94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www.alumniportal.tcs.com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20.193.149.15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apgasia-assets.tcs.com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52.172.249.100</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apgasia-preprod2.tcs.com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52.172.218.148</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apgeus-assets.tcs.com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20.62.217.113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(United States)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apphonics.tcs.com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125.17.73.221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assets.tcs.com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23.54.208.40</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Akamai (United States)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autodiscover.tcs.com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45.249.218.30</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awuat.tcs.com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219.64.33.189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bancssupport.tcs.com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121.241.193.21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bodapp.tcs.com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203.199.20.249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bodstore.tcs.com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121.240.8.182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bounce.tcs.com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185.28.196.155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Amazon (Ireland)</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cep.bpo.tcs.com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115.112.77.102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brazilbfsi.tcs.com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200.212.144.8</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Claro S.A., BR (Brazil)</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brtamm02.tcs.com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208.44.114.52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Lumen/Level 3 - Level 3 Parent, LLC (United States)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brtamm102.tcs.com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65.51.161.134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Lightpath (Cablevision) (United States)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careers.tcs.com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4.247.162.6</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chnexo.tcs.com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122.184.60.102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colosseum.tcs.com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203.199.20.12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digitalsoftware.tcs.com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14.141.110.181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ebcssl1.tcs.com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122.15.107.26</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Vodafone Idea,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ebcssl2.tcs.com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14.141.164.242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emeaswzprovpn02.tcs.com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51.107.86.138</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(Switzerland)</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filesync.tcs.com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219.64.33.248</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gbams.tcs.com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203.199.19.93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grs.tcs.com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219.64.34.57</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hob-sit.tcs.com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121.242.62.41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hungaryvpn.tcs.com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91.120.250.11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Hungary branch (Hungary)</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ignite.tcs.com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125.17.102.12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ilpcms.tcs.com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14.140.178.150</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inblrg03.tcs.com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121.242.48.29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inblrg04.tcs.com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121.242.48.30</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inblrg05.tcs.com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inchng03.tcs.com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122.184.60.32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inchng04.tcs.com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122.184.60.109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inchng05.tcs.com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122.184.60.134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inchngs01.tcs.com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14.143.141.144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inchngs02.tcs.com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14.143.141.145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indelg01.tcs.com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203.200.109.55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indelg02.tcs.com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203.200.109.58</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indrukm02.tcs.com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219.64.33.204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indrukm03.tcs.com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219.64.33.177</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indruktv01.tcs.com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219.64.33.34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info.tcs.com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104.17.72.206</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Cloudflare (unknown)</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inhyverizonvpn.tcs.com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52.172.30.223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inkollf01.tcs.com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121.241.215.105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A</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uklong01.tcs.com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80.82.129.165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GTT Communications (United Kingdom)</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inchng04.tcs.com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122.184.60.109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inblrg03.tcs.com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121.242.48.29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inchng01.tcs.com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inmumg02.tcs.com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219.64.33.222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inchng02.tcs.com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inmumg04.tcs.com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45.249.218.97</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inblrg04.tcs.com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121.242.48.30</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inblrg05.tcs.com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121.242.48.31</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inmumg05.tcs.com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45.249.218.122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inchng05.tcs.com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122.184.60.134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inmumg01.tcs.com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219.64.33.12</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inblrg01.tcs.com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121.242.48.3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Tata Communications (VSNL),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10 usnjyg01.tcs.com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208.44.114.64</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MX</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Lumen/Level 3 - Level 3 Parent, LLC (United States)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ns5.tcs.com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208.44.114.53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Lumen/Level 3 - Level 3 Parent, LLC (United States)</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ns7.tcs.com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20.198.79.235</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Microsoft Azure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ns8.tcs.com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45.249.218.123</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TCS eServe, IN (India)</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ns6.tcs.com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80.82.129.169</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GTT Communications (United Kingdom)</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ns3.tcs.com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59.144.131.16</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NS</w:t>
            </w:r>
          </w:p>
        </w:tc>
        <w:tc>
          <w:tcPr>
            <w:tcW w:type="dxa" w:w="3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1"/>
                <w:szCs w:val="21"/>
              </w:rPr>
              <w:t xml:space="preserve">Bharti Airtel, IN (India)</w:t>
            </w:r>
          </w:p>
        </w:tc>
      </w:tr>
    </w:tbl>
    <w:p>
      <w:pPr>
        <w:spacing w:after="300"/>
      </w:pPr>
      <w:r>
        <w:rPr>
          <w:rFonts w:ascii="Calibri" w:cs="Calibri" w:eastAsia="Calibri" w:hAnsi="Calibri"/>
          <w:sz w:val="22"/>
          <w:szCs w:val="22"/>
        </w:rPr>
        <w:t xml:space="preserve"/>
      </w:r>
    </w:p>
    <w:p>
      <w:pPr>
        <w:spacing w:after="20"/>
      </w:pPr>
      <w:r>
        <w:rPr>
          <w:rFonts w:ascii="Calibri" w:cs="Calibri" w:eastAsia="Calibri" w:hAnsi="Calibri"/>
          <w:sz w:val="22"/>
          <w:szCs w:val="22"/>
        </w:rPr>
        <w:t xml:space="preserve">______________________________</w:t>
      </w:r>
    </w:p>
    <w:p>
      <w:pPr>
        <w:spacing w:after="20"/>
      </w:pPr>
      <w:r>
        <w:rPr>
          <w:rFonts w:ascii="Calibri" w:cs="Calibri" w:eastAsia="Calibri" w:hAnsi="Calibri"/>
          <w:b/>
          <w:bCs/>
          <w:i/>
          <w:iCs/>
          <w:sz w:val="22"/>
          <w:szCs w:val="22"/>
        </w:rPr>
        <w:t xml:space="preserve">Signature of the student</w:t>
      </w:r>
    </w:p>
    <w:p>
      <w:pPr>
        <w:spacing w:after="120"/>
      </w:pPr>
      <w:r>
        <w:rPr>
          <w:rFonts w:ascii="Calibri" w:cs="Calibri" w:eastAsia="Calibri" w:hAnsi="Calibri"/>
          <w:sz w:val="22"/>
          <w:szCs w:val="22"/>
        </w:rPr>
        <w:t xml:space="preserve">Kamalesh M (192421438)</w:t>
      </w:r>
    </w:p>
    <w:sectPr>
      <w:pgSz w:w="11906" w:h="16838" w:orient="portrait"/>
      <w:pgMar w:top="1134" w:right="1273" w:bottom="1134"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c47e955cb1b1d8d39895eb42492ac2a22f6d73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Assessment 3 - DNS Footprinting (tcs.com)</dc:title>
  <dc:creator>Kamalesh M</dc:creator>
  <cp:lastModifiedBy>Un-named</cp:lastModifiedBy>
  <cp:revision>1</cp:revision>
  <dcterms:created xsi:type="dcterms:W3CDTF">2026-10-26T08:42:42.361Z</dcterms:created>
  <dcterms:modified xsi:type="dcterms:W3CDTF">2026-10-26T08:42:42.362Z</dcterms:modified>
</cp:coreProperties>
</file>

<file path=docProps/custom.xml><?xml version="1.0" encoding="utf-8"?>
<Properties xmlns="http://schemas.openxmlformats.org/officeDocument/2006/custom-properties" xmlns:vt="http://schemas.openxmlformats.org/officeDocument/2006/docPropsVTypes"/>
</file>