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62C60F">
      <w:pPr>
        <w:ind w:left="0" w:leftChars="0" w:firstLine="0" w:firstLineChars="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МИНОБРНАУКИ РОССИИ</w:t>
      </w:r>
    </w:p>
    <w:p w14:paraId="2CD9863F">
      <w:pPr>
        <w:ind w:left="0" w:leftChars="0" w:firstLine="0" w:firstLineChars="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Национальный исследовательский университет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Высшая школа экономики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”</w:t>
      </w:r>
    </w:p>
    <w:p w14:paraId="33A605FA">
      <w:pPr>
        <w:ind w:left="0" w:leftChars="0" w:firstLine="0" w:firstLineChars="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Компьютерные науки и технологии</w:t>
      </w:r>
    </w:p>
    <w:p w14:paraId="4141ECC9">
      <w:pPr>
        <w:ind w:left="0" w:leftChars="0" w:firstLine="0" w:firstLineChars="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42FC8DD4">
      <w:pPr>
        <w:ind w:left="0" w:leftChars="0" w:firstLine="0" w:firstLineChars="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435B03DF">
      <w:pPr>
        <w:ind w:left="0" w:leftChars="0" w:firstLine="0" w:firstLineChars="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ОТЧЕТ</w:t>
      </w:r>
    </w:p>
    <w:p w14:paraId="45D13F2C">
      <w:pPr>
        <w:ind w:left="0" w:leftChars="0" w:firstLine="0" w:firstLineChars="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По практической работе №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3</w:t>
      </w:r>
    </w:p>
    <w:p w14:paraId="0ED898C3">
      <w:pPr>
        <w:ind w:left="0" w:leftChars="0" w:firstLine="0" w:firstLineChars="0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“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  <w:t xml:space="preserve">Моделирование бизнес-процесса по нотации </w:t>
      </w:r>
      <w:r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  <w:t>BPMN”</w:t>
      </w:r>
    </w:p>
    <w:p w14:paraId="73B286C0">
      <w:pPr>
        <w:ind w:left="0" w:leftChars="0" w:firstLine="0" w:firstLineChars="0"/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23FF9727">
      <w:pPr>
        <w:ind w:left="0" w:leftChars="0" w:firstLine="0" w:firstLineChars="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по дисциплине </w:t>
      </w:r>
    </w:p>
    <w:p w14:paraId="13C65C3F">
      <w:pPr>
        <w:ind w:left="0" w:leftChars="0" w:firstLine="0" w:firstLineChars="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Моделирование бизнес-процессов</w:t>
      </w:r>
    </w:p>
    <w:p w14:paraId="3AE0F7C0">
      <w:pPr>
        <w:ind w:left="0" w:leftChars="0" w:firstLine="0" w:firstLineChars="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206C509B">
      <w:pPr>
        <w:ind w:left="0" w:leftChars="0" w:firstLine="0" w:firstLineChars="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0DF41659">
      <w:pPr>
        <w:ind w:left="0" w:leftChars="0" w:firstLine="0" w:firstLineChars="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58E46433">
      <w:pPr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РУКОВОДИТЕЛЬ:</w:t>
      </w:r>
    </w:p>
    <w:p w14:paraId="2DE7E4B7">
      <w:pPr>
        <w:jc w:val="right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11D8A01E">
      <w:pPr>
        <w:jc w:val="right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Асеева Н.В.</w:t>
      </w:r>
    </w:p>
    <w:p w14:paraId="3EF8CB47">
      <w:pPr>
        <w:jc w:val="right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(подпись)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 (Фамилия И.О.)</w:t>
      </w:r>
    </w:p>
    <w:p w14:paraId="609266D3">
      <w:pPr>
        <w:jc w:val="right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</w:p>
    <w:p w14:paraId="66BDB92F">
      <w:pPr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СТУДЕНТ</w:t>
      </w:r>
    </w:p>
    <w:p w14:paraId="0766B341">
      <w:pPr>
        <w:wordWrap w:val="0"/>
        <w:jc w:val="right"/>
        <w:rPr>
          <w:rFonts w:hint="default" w:ascii="Times New Roman" w:hAnsi="Times New Roman" w:cs="Times New Roman"/>
          <w:b w:val="0"/>
          <w:bCs w:val="0"/>
          <w:color w:val="FFFFFF" w:themeColor="background1"/>
          <w:sz w:val="28"/>
          <w:szCs w:val="28"/>
          <w:u w:val="none"/>
          <w:lang w:val="ru-RU"/>
          <w14:textFill>
            <w14:solidFill>
              <w14:schemeClr w14:val="bg1"/>
            </w14:solidFill>
          </w14:textFill>
        </w:rPr>
      </w:pPr>
    </w:p>
    <w:p w14:paraId="29A5CF07">
      <w:pPr>
        <w:wordWrap w:val="0"/>
        <w:jc w:val="right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color w:val="FFFFFF" w:themeColor="background1"/>
          <w:sz w:val="28"/>
          <w:szCs w:val="28"/>
          <w:u w:val="none"/>
          <w:lang w:val="ru-RU"/>
          <w14:textFill>
            <w14:solidFill>
              <w14:schemeClr w14:val="bg1"/>
            </w14:solidFill>
          </w14:textFill>
        </w:rPr>
        <w:t>а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none"/>
          <w:lang w:val="ru-RU"/>
        </w:rPr>
        <w:t>Камалетдинов Т.Р.</w:t>
      </w:r>
    </w:p>
    <w:p w14:paraId="170EDEAE">
      <w:pPr>
        <w:jc w:val="right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(подпись)  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ab/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     (Фамилия И.О.)</w:t>
      </w:r>
    </w:p>
    <w:p w14:paraId="42C9F04B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4D11165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F3E0A9C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1642E8F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0DCB7CF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55F2912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AC6392A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51B98A36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4ADDED2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5D9F93D2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805B708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0D5A39F3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01F0EA4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6279ADE5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37BA7760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772E67FF">
      <w:pPr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45B858C3">
      <w:pPr>
        <w:ind w:left="0" w:leftChars="0" w:firstLine="0" w:firstLineChars="0"/>
        <w:jc w:val="both"/>
        <w:rPr>
          <w:rFonts w:hint="default" w:ascii="Times New Roman" w:hAnsi="Times New Roman" w:cs="Times New Roman"/>
          <w:b/>
          <w:bCs/>
          <w:sz w:val="28"/>
          <w:szCs w:val="28"/>
          <w:lang w:val="ru-RU"/>
        </w:rPr>
      </w:pPr>
    </w:p>
    <w:p w14:paraId="199AEADB">
      <w:pPr>
        <w:ind w:left="0" w:leftChars="0" w:firstLine="0" w:firstLineChars="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Нижний Новгород</w:t>
      </w:r>
    </w:p>
    <w:p w14:paraId="6AD3912C">
      <w:pPr>
        <w:ind w:left="0" w:leftChars="0" w:firstLine="0" w:firstLineChars="0"/>
        <w:jc w:val="center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2025 г.</w:t>
      </w:r>
    </w:p>
    <w:p w14:paraId="7D90F1BC">
      <w:pPr>
        <w:ind w:left="0" w:leftChars="0" w:firstLine="0" w:firstLineChars="0"/>
        <w:jc w:val="center"/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  <w:t xml:space="preserve">Описание бизнес-процесса </w:t>
      </w:r>
      <w: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  <w:t>“</w:t>
      </w:r>
      <w:r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  <w:t xml:space="preserve">Подбор сотрудников в </w:t>
      </w:r>
      <w: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  <w:t>IT</w:t>
      </w:r>
      <w:r>
        <w:rPr>
          <w:rFonts w:hint="default" w:ascii="Times New Roman" w:hAnsi="Times New Roman" w:cs="Times New Roman"/>
          <w:b/>
          <w:bCs/>
          <w:sz w:val="32"/>
          <w:szCs w:val="32"/>
          <w:lang w:val="ru-RU"/>
        </w:rPr>
        <w:t>-компанию</w:t>
      </w:r>
      <w:r>
        <w:rPr>
          <w:rFonts w:hint="default" w:ascii="Times New Roman" w:hAnsi="Times New Roman" w:cs="Times New Roman"/>
          <w:b/>
          <w:bCs/>
          <w:sz w:val="32"/>
          <w:szCs w:val="32"/>
          <w:lang w:val="en-US"/>
        </w:rPr>
        <w:t>”</w:t>
      </w:r>
    </w:p>
    <w:p w14:paraId="6C659754">
      <w:pPr>
        <w:jc w:val="center"/>
        <w:rPr>
          <w:rFonts w:hint="default" w:ascii="Times New Roman" w:hAnsi="Times New Roman" w:cs="Times New Roman"/>
          <w:b/>
          <w:bCs/>
          <w:sz w:val="28"/>
          <w:szCs w:val="28"/>
          <w:lang w:val="en-US"/>
        </w:rPr>
      </w:pPr>
    </w:p>
    <w:p w14:paraId="2C81474B">
      <w:pPr>
        <w:jc w:val="left"/>
        <w:rPr>
          <w:rFonts w:hint="default" w:ascii="Times New Roman" w:hAnsi="Times New Roman" w:cs="Times New Roman"/>
          <w:b w:val="0"/>
          <w:bCs w:val="0"/>
          <w:sz w:val="28"/>
          <w:szCs w:val="28"/>
          <w:u w:val="single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u w:val="single"/>
          <w:lang w:val="ru-RU"/>
        </w:rPr>
        <w:t>Узкие места процесса:</w:t>
      </w:r>
    </w:p>
    <w:p w14:paraId="0A4EAF4A">
      <w:pPr>
        <w:numPr>
          <w:ilvl w:val="0"/>
          <w:numId w:val="1"/>
        </w:numPr>
        <w:ind w:left="425" w:leftChars="0" w:hanging="425" w:firstLineChars="0"/>
        <w:jc w:val="left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 xml:space="preserve">Ручное распределение заявок среди 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en-US"/>
        </w:rPr>
        <w:t>HR</w:t>
      </w:r>
      <w:r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  <w:t>-специалистов: н</w:t>
      </w:r>
      <w:r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  <w:t>ет автоматической маршрутизации заявок; риск задержек при передаче между HR.</w:t>
      </w:r>
    </w:p>
    <w:p w14:paraId="1A69E7D6">
      <w:pPr>
        <w:numPr>
          <w:ilvl w:val="0"/>
          <w:numId w:val="1"/>
        </w:numPr>
        <w:ind w:left="425" w:leftChars="0" w:hanging="425" w:firstLineChars="0"/>
        <w:jc w:val="left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  <w:t>Отсутствие автоматизации публикации вакансий: ручное размещение на сайтах, чатах и соцсетях; нет интеграции с платформами поиска работы.</w:t>
      </w:r>
    </w:p>
    <w:p w14:paraId="7D57F131">
      <w:pPr>
        <w:numPr>
          <w:ilvl w:val="0"/>
          <w:numId w:val="1"/>
        </w:numPr>
        <w:ind w:left="425" w:leftChars="0" w:hanging="425" w:firstLineChars="0"/>
        <w:jc w:val="left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  <w:t>Зависимость от ручного обновления информации: HR вручную отправляет информацию о кандидатах; нет единой системы отслеживания статусов.</w:t>
      </w:r>
    </w:p>
    <w:p w14:paraId="4CE81EBC">
      <w:pPr>
        <w:numPr>
          <w:ilvl w:val="0"/>
          <w:numId w:val="1"/>
        </w:numPr>
        <w:ind w:left="425" w:leftChars="0" w:hanging="425" w:firstLineChars="0"/>
        <w:jc w:val="left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  <w:t>Неоптимальный процесс собеседований: возможны задержки из-за необходимости согласования времени; нет стандартизированных форм оценки.</w:t>
      </w:r>
    </w:p>
    <w:p w14:paraId="1643DC3A">
      <w:pPr>
        <w:numPr>
          <w:ilvl w:val="0"/>
          <w:numId w:val="1"/>
        </w:numPr>
        <w:ind w:left="425" w:leftChars="0" w:hanging="425" w:firstLineChars="0"/>
        <w:jc w:val="left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  <w:t>Отсутствие аналитики и обратной связи: не анализируются причины отказов кандидатов; нет системного подхода к улучшению процесса.</w:t>
      </w:r>
    </w:p>
    <w:p w14:paraId="24564952">
      <w:pPr>
        <w:numPr>
          <w:ilvl w:val="0"/>
          <w:numId w:val="1"/>
        </w:numPr>
        <w:ind w:left="425" w:leftChars="0" w:hanging="425" w:firstLineChars="0"/>
        <w:jc w:val="left"/>
        <w:rPr>
          <w:rFonts w:hint="default" w:ascii="Times New Roman" w:hAnsi="Times New Roman" w:cs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  <w:t>Риск потери кандидатов на этапе согласования: длительный процесс согласования между руководителями; Нет автоматических напоминаний.</w:t>
      </w:r>
    </w:p>
    <w:p w14:paraId="2114EEB0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</w:pPr>
    </w:p>
    <w:p w14:paraId="5A3D3AD0">
      <w:pPr>
        <w:numPr>
          <w:ilvl w:val="0"/>
          <w:numId w:val="0"/>
        </w:numPr>
        <w:ind w:leftChars="0"/>
        <w:jc w:val="left"/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u w:val="single"/>
          <w:lang w:val="ru-RU"/>
        </w:rPr>
        <w:t>Предложения для повышения качества:</w:t>
      </w:r>
    </w:p>
    <w:p w14:paraId="157C5D6E">
      <w:pPr>
        <w:numPr>
          <w:ilvl w:val="0"/>
          <w:numId w:val="2"/>
        </w:numPr>
        <w:tabs>
          <w:tab w:val="clear" w:pos="425"/>
        </w:tabs>
        <w:ind w:left="425" w:leftChars="0" w:hanging="425" w:firstLineChars="0"/>
        <w:jc w:val="left"/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  <w:t>Внедрение системы управления кандидатами (</w:t>
      </w:r>
      <w:r>
        <w:rPr>
          <w:rFonts w:hint="default" w:ascii="Times New Roman" w:hAnsi="Times New Roman"/>
          <w:b w:val="0"/>
          <w:bCs w:val="0"/>
          <w:sz w:val="28"/>
          <w:szCs w:val="28"/>
          <w:lang w:val="en-US"/>
        </w:rPr>
        <w:t>ATS</w:t>
      </w:r>
      <w:r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  <w:t>): автоматическая маршрутизация заявок; автоматическое отслеживание статусов; интеграция с платформами размещения вакансий.</w:t>
      </w:r>
    </w:p>
    <w:p w14:paraId="1198EBE6">
      <w:pPr>
        <w:numPr>
          <w:ilvl w:val="0"/>
          <w:numId w:val="2"/>
        </w:numPr>
        <w:tabs>
          <w:tab w:val="clear" w:pos="425"/>
        </w:tabs>
        <w:ind w:left="425" w:leftChars="0" w:hanging="425" w:firstLineChars="0"/>
        <w:jc w:val="left"/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  <w:t>Стандартизация процесса: единые шаблоны заявок и офферов; четкие критерии оценки на каждом этапе; автоматические уведомления и напоминания.</w:t>
      </w:r>
    </w:p>
    <w:p w14:paraId="79F88746">
      <w:pPr>
        <w:numPr>
          <w:ilvl w:val="0"/>
          <w:numId w:val="2"/>
        </w:numPr>
        <w:tabs>
          <w:tab w:val="clear" w:pos="425"/>
        </w:tabs>
        <w:ind w:left="425" w:leftChars="0" w:hanging="425" w:firstLineChars="0"/>
        <w:jc w:val="left"/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  <w:t>Оптимизация процесса собеседований: внедрение системы планирования интервью, онлайн-тестирование на ранних этапах, четкие сроки для каждого этапа.</w:t>
      </w:r>
    </w:p>
    <w:p w14:paraId="621AE6D7">
      <w:pPr>
        <w:numPr>
          <w:ilvl w:val="0"/>
          <w:numId w:val="2"/>
        </w:numPr>
        <w:tabs>
          <w:tab w:val="clear" w:pos="425"/>
        </w:tabs>
        <w:ind w:left="425" w:leftChars="0" w:hanging="425" w:firstLineChars="0"/>
        <w:jc w:val="left"/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  <w:t>Аналитика и улучшение: сбор и анализ метрик в реальном времени; регулярный анализ причин отказов; обратная связь от участников процесса.</w:t>
      </w:r>
    </w:p>
    <w:p w14:paraId="5749B8B0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lang w:val="ru-RU"/>
        </w:rPr>
      </w:pPr>
    </w:p>
    <w:p w14:paraId="39BEF441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single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u w:val="single"/>
          <w:lang w:val="ru-RU"/>
        </w:rPr>
        <w:t xml:space="preserve">Описание бизнес-процесса </w:t>
      </w:r>
      <w:r>
        <w:rPr>
          <w:rFonts w:hint="default" w:ascii="Times New Roman" w:hAnsi="Times New Roman"/>
          <w:b w:val="0"/>
          <w:bCs w:val="0"/>
          <w:sz w:val="28"/>
          <w:szCs w:val="28"/>
          <w:u w:val="single"/>
          <w:lang w:val="en-US"/>
        </w:rPr>
        <w:t>TOBE</w:t>
      </w:r>
      <w:r>
        <w:rPr>
          <w:rFonts w:hint="default" w:ascii="Times New Roman" w:hAnsi="Times New Roman"/>
          <w:b w:val="0"/>
          <w:bCs w:val="0"/>
          <w:sz w:val="28"/>
          <w:szCs w:val="28"/>
          <w:u w:val="single"/>
          <w:lang w:val="ru-RU"/>
        </w:rPr>
        <w:t>:</w:t>
      </w:r>
    </w:p>
    <w:p w14:paraId="31FAFE42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  <w:t>Шаг 1.</w:t>
      </w:r>
    </w:p>
    <w:p w14:paraId="38B0DFC1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  <w:t xml:space="preserve">Руководитель заполняет заявку в </w:t>
      </w: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en-US"/>
        </w:rPr>
        <w:t>ATS</w:t>
      </w: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  <w:t>-системе, после чего система автоматически направляет её руководителю департамента. Если же согласование не было произведено за отведенный срок, то система напоминает о её наличии руководителю департамента.</w:t>
      </w:r>
    </w:p>
    <w:p w14:paraId="3481D833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</w:p>
    <w:p w14:paraId="31DF48DB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  <w:t>Шаг 2.</w:t>
      </w:r>
    </w:p>
    <w:p w14:paraId="7B92A719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  <w:t xml:space="preserve">После того, как заявка была согласованна, система назначает её определенному </w:t>
      </w: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en-US"/>
        </w:rPr>
        <w:t>HR</w:t>
      </w: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  <w:t>-специалисту, в тоже время как происходит публикация вакансии на сайтах.</w:t>
      </w:r>
    </w:p>
    <w:p w14:paraId="77B8279F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</w:p>
    <w:p w14:paraId="53E9435B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  <w:t>Шаг 3.</w:t>
      </w:r>
    </w:p>
    <w:p w14:paraId="7667F55E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  <w:t xml:space="preserve">При появлении кандидатов, система оценивает его резюме и отсеивает неподходящие варианты. </w:t>
      </w: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en-US"/>
        </w:rPr>
        <w:t>HR-</w:t>
      </w: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  <w:t>специалсит созванивается с кандидатом, для уточнения интересующей информации.</w:t>
      </w:r>
    </w:p>
    <w:p w14:paraId="5EE38B2E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</w:p>
    <w:p w14:paraId="5F4EA67B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  <w:t>Шаг 4.</w:t>
      </w:r>
    </w:p>
    <w:p w14:paraId="5C5FEF13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  <w:t>Дата собеседования назначается автоматически, исходя из графика интервьюера. Максимум проводятся 2 собеседования, в ходе которых определяется, подходит ли кандидат на должность</w:t>
      </w:r>
    </w:p>
    <w:p w14:paraId="77BA2650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</w:p>
    <w:p w14:paraId="36DC918C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  <w:t>Шаг 5.</w:t>
      </w:r>
    </w:p>
    <w:p w14:paraId="6B205DE7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  <w:t>Если кандидат подходит, то формируется оффер и начинается процесс приема на работу. В ином случае фиксируются причины отказа.</w:t>
      </w:r>
    </w:p>
    <w:p w14:paraId="79D6CD6B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</w:p>
    <w:p w14:paraId="1AD1C47B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single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u w:val="single"/>
          <w:lang w:val="ru-RU"/>
        </w:rPr>
        <w:t xml:space="preserve">Преимущества </w:t>
      </w:r>
      <w:r>
        <w:rPr>
          <w:rFonts w:hint="default" w:ascii="Times New Roman" w:hAnsi="Times New Roman"/>
          <w:b w:val="0"/>
          <w:bCs w:val="0"/>
          <w:sz w:val="28"/>
          <w:szCs w:val="28"/>
          <w:u w:val="single"/>
          <w:lang w:val="en-US"/>
        </w:rPr>
        <w:t xml:space="preserve">TOBE </w:t>
      </w:r>
      <w:r>
        <w:rPr>
          <w:rFonts w:hint="default" w:ascii="Times New Roman" w:hAnsi="Times New Roman"/>
          <w:b w:val="0"/>
          <w:bCs w:val="0"/>
          <w:sz w:val="28"/>
          <w:szCs w:val="28"/>
          <w:u w:val="single"/>
          <w:lang w:val="ru-RU"/>
        </w:rPr>
        <w:t xml:space="preserve">над </w:t>
      </w:r>
      <w:r>
        <w:rPr>
          <w:rFonts w:hint="default" w:ascii="Times New Roman" w:hAnsi="Times New Roman"/>
          <w:b w:val="0"/>
          <w:bCs w:val="0"/>
          <w:sz w:val="28"/>
          <w:szCs w:val="28"/>
          <w:u w:val="single"/>
          <w:lang w:val="en-US"/>
        </w:rPr>
        <w:t>ASIS</w:t>
      </w:r>
      <w:r>
        <w:rPr>
          <w:rFonts w:hint="default" w:ascii="Times New Roman" w:hAnsi="Times New Roman"/>
          <w:b w:val="0"/>
          <w:bCs w:val="0"/>
          <w:sz w:val="28"/>
          <w:szCs w:val="28"/>
          <w:u w:val="single"/>
          <w:lang w:val="ru-RU"/>
        </w:rPr>
        <w:t>:</w:t>
      </w:r>
    </w:p>
    <w:p w14:paraId="5F2C5E75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single"/>
          <w:lang w:val="ru-RU"/>
        </w:rPr>
      </w:pPr>
    </w:p>
    <w:tbl>
      <w:tblPr>
        <w:tblStyle w:val="4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0"/>
        <w:gridCol w:w="2841"/>
        <w:gridCol w:w="2841"/>
      </w:tblGrid>
      <w:tr w14:paraId="6A9EF7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3BD311B9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/>
                <w:b/>
                <w:bCs/>
                <w:sz w:val="28"/>
                <w:szCs w:val="28"/>
                <w:u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/>
                <w:bCs/>
                <w:sz w:val="28"/>
                <w:szCs w:val="28"/>
                <w:u w:val="none"/>
                <w:vertAlign w:val="baseline"/>
                <w:lang w:val="ru-RU"/>
              </w:rPr>
              <w:t>Параметры</w:t>
            </w:r>
          </w:p>
        </w:tc>
        <w:tc>
          <w:tcPr>
            <w:tcW w:w="2841" w:type="dxa"/>
          </w:tcPr>
          <w:p w14:paraId="7AC59E18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/>
                <w:b/>
                <w:bCs/>
                <w:sz w:val="28"/>
                <w:szCs w:val="28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/>
                <w:bCs/>
                <w:sz w:val="28"/>
                <w:szCs w:val="28"/>
                <w:u w:val="none"/>
                <w:vertAlign w:val="baseline"/>
                <w:lang w:val="en-US"/>
              </w:rPr>
              <w:t>ASIS</w:t>
            </w:r>
          </w:p>
        </w:tc>
        <w:tc>
          <w:tcPr>
            <w:tcW w:w="2841" w:type="dxa"/>
          </w:tcPr>
          <w:p w14:paraId="23ADDC60">
            <w:pPr>
              <w:widowControl w:val="0"/>
              <w:numPr>
                <w:ilvl w:val="0"/>
                <w:numId w:val="0"/>
              </w:numPr>
              <w:jc w:val="center"/>
              <w:rPr>
                <w:rFonts w:hint="default" w:ascii="Times New Roman" w:hAnsi="Times New Roman"/>
                <w:b/>
                <w:bCs/>
                <w:sz w:val="28"/>
                <w:szCs w:val="28"/>
                <w:u w:val="none"/>
                <w:vertAlign w:val="baseline"/>
                <w:lang w:val="en-US"/>
              </w:rPr>
            </w:pPr>
            <w:r>
              <w:rPr>
                <w:rFonts w:hint="default" w:ascii="Times New Roman" w:hAnsi="Times New Roman"/>
                <w:b/>
                <w:bCs/>
                <w:sz w:val="28"/>
                <w:szCs w:val="28"/>
                <w:u w:val="none"/>
                <w:vertAlign w:val="baseline"/>
                <w:lang w:val="en-US"/>
              </w:rPr>
              <w:t>TOBE</w:t>
            </w:r>
          </w:p>
        </w:tc>
      </w:tr>
      <w:tr w14:paraId="414A61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60AC3C5A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  <w:t>Время закрытия вакансии</w:t>
            </w:r>
          </w:p>
        </w:tc>
        <w:tc>
          <w:tcPr>
            <w:tcW w:w="2841" w:type="dxa"/>
          </w:tcPr>
          <w:p w14:paraId="4434B675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  <w:t>30 дней</w:t>
            </w:r>
          </w:p>
        </w:tc>
        <w:tc>
          <w:tcPr>
            <w:tcW w:w="2841" w:type="dxa"/>
          </w:tcPr>
          <w:p w14:paraId="5F5B382A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  <w:t>21 день</w:t>
            </w:r>
          </w:p>
        </w:tc>
      </w:tr>
      <w:tr w14:paraId="2A70D0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0348D913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  <w:t>Процент принятых офферов</w:t>
            </w:r>
          </w:p>
        </w:tc>
        <w:tc>
          <w:tcPr>
            <w:tcW w:w="2841" w:type="dxa"/>
          </w:tcPr>
          <w:p w14:paraId="30D76341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  <w:t>70%</w:t>
            </w:r>
          </w:p>
        </w:tc>
        <w:tc>
          <w:tcPr>
            <w:tcW w:w="2841" w:type="dxa"/>
          </w:tcPr>
          <w:p w14:paraId="03E9D881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  <w:t>85%</w:t>
            </w:r>
          </w:p>
        </w:tc>
      </w:tr>
      <w:tr w14:paraId="31F6F6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4516ECFE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  <w:t>Удовлетворенность руководства</w:t>
            </w:r>
          </w:p>
        </w:tc>
        <w:tc>
          <w:tcPr>
            <w:tcW w:w="2841" w:type="dxa"/>
          </w:tcPr>
          <w:p w14:paraId="6351C7B7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  <w:t>4,5/5</w:t>
            </w:r>
          </w:p>
        </w:tc>
        <w:tc>
          <w:tcPr>
            <w:tcW w:w="2841" w:type="dxa"/>
          </w:tcPr>
          <w:p w14:paraId="0E33671F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  <w:t>4,8/5</w:t>
            </w:r>
          </w:p>
        </w:tc>
      </w:tr>
      <w:tr w14:paraId="18E2D6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0A44B274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  <w:t>Минимальное количество кандидатов на должность</w:t>
            </w:r>
          </w:p>
        </w:tc>
        <w:tc>
          <w:tcPr>
            <w:tcW w:w="2841" w:type="dxa"/>
          </w:tcPr>
          <w:p w14:paraId="77EB9D1D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  <w:t>5</w:t>
            </w:r>
          </w:p>
        </w:tc>
        <w:tc>
          <w:tcPr>
            <w:tcW w:w="2841" w:type="dxa"/>
          </w:tcPr>
          <w:p w14:paraId="5D63C9AC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  <w:t>8</w:t>
            </w:r>
          </w:p>
        </w:tc>
      </w:tr>
      <w:tr w14:paraId="056B43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711D8AE5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  <w:t>Время согласование заявки</w:t>
            </w:r>
          </w:p>
        </w:tc>
        <w:tc>
          <w:tcPr>
            <w:tcW w:w="2841" w:type="dxa"/>
          </w:tcPr>
          <w:p w14:paraId="34E0667D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  <w:t>3-5 дней</w:t>
            </w:r>
          </w:p>
        </w:tc>
        <w:tc>
          <w:tcPr>
            <w:tcW w:w="2841" w:type="dxa"/>
          </w:tcPr>
          <w:p w14:paraId="7CD16B49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  <w:t>2 дня</w:t>
            </w:r>
          </w:p>
        </w:tc>
      </w:tr>
      <w:tr w14:paraId="741F82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40" w:type="dxa"/>
          </w:tcPr>
          <w:p w14:paraId="4C97ACC3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  <w:t>Процент кандидатов, прошедших весь процесс до оффера</w:t>
            </w:r>
          </w:p>
        </w:tc>
        <w:tc>
          <w:tcPr>
            <w:tcW w:w="2841" w:type="dxa"/>
          </w:tcPr>
          <w:p w14:paraId="78DAD6AD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  <w:t>20%</w:t>
            </w:r>
          </w:p>
        </w:tc>
        <w:tc>
          <w:tcPr>
            <w:tcW w:w="2841" w:type="dxa"/>
          </w:tcPr>
          <w:p w14:paraId="3DC8D5F9">
            <w:pPr>
              <w:widowControl w:val="0"/>
              <w:numPr>
                <w:ilvl w:val="0"/>
                <w:numId w:val="0"/>
              </w:numPr>
              <w:jc w:val="left"/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</w:pPr>
            <w:r>
              <w:rPr>
                <w:rFonts w:hint="default" w:ascii="Times New Roman" w:hAnsi="Times New Roman"/>
                <w:b w:val="0"/>
                <w:bCs w:val="0"/>
                <w:sz w:val="28"/>
                <w:szCs w:val="28"/>
                <w:u w:val="none"/>
                <w:vertAlign w:val="baseline"/>
                <w:lang w:val="ru-RU"/>
              </w:rPr>
              <w:t>20%</w:t>
            </w:r>
          </w:p>
        </w:tc>
      </w:tr>
    </w:tbl>
    <w:p w14:paraId="1B3911F5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</w:p>
    <w:p w14:paraId="2F32BACD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</w:p>
    <w:p w14:paraId="7644E22F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single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u w:val="single"/>
          <w:lang w:val="ru-RU"/>
        </w:rPr>
        <w:t>План перехода:</w:t>
      </w:r>
    </w:p>
    <w:p w14:paraId="66A93411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single"/>
          <w:lang w:val="ru-RU"/>
        </w:rPr>
      </w:pPr>
    </w:p>
    <w:p w14:paraId="4744B1EE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  <w:t xml:space="preserve">Подготовительный этап: настройка </w:t>
      </w: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en-US"/>
        </w:rPr>
        <w:t>ATS-</w:t>
      </w: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  <w:t>системы, разработка шаблонов документов и обучение участвующих пользователей тому, как эффективно использовать систему.</w:t>
      </w:r>
    </w:p>
    <w:p w14:paraId="4A61E1E4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</w:p>
    <w:p w14:paraId="08EE2596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  <w:t>Тестирование: на этом этапе система бу</w:t>
      </w:r>
      <w:bookmarkStart w:id="0" w:name="_GoBack"/>
      <w:bookmarkEnd w:id="0"/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  <w:t>дет использоваться только для одного отдела, который не будет возражать нововведениям. Параллельно с этим идет сбор обратной связи для потенциальной оптимизации процессов системы.</w:t>
      </w:r>
    </w:p>
    <w:p w14:paraId="4FCB98FD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</w:p>
    <w:p w14:paraId="5FCDF9A9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  <w:t>Постепенное внедрение: после того, как тестирование будет окончено, можно будет приступать к постепенному внедрению данной системы в другие департаменты. Сбор обратной связи не прекращается, для потенциального улучшения системы.</w:t>
      </w:r>
    </w:p>
    <w:p w14:paraId="17952B36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</w:p>
    <w:p w14:paraId="77759100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  <w:r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  <w:t>Полное внедрение и подведение итогов:система распространена на все департаменты, вместе с тем, как старый метод подбора сотрудников больше не используется. Регулярно происходят проверки соответствий метрик.</w:t>
      </w:r>
    </w:p>
    <w:p w14:paraId="23D72E4B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</w:p>
    <w:p w14:paraId="4912337B">
      <w:pPr>
        <w:numPr>
          <w:ilvl w:val="0"/>
          <w:numId w:val="0"/>
        </w:numPr>
        <w:jc w:val="left"/>
        <w:rPr>
          <w:rFonts w:hint="default" w:ascii="Times New Roman" w:hAnsi="Times New Roman"/>
          <w:b w:val="0"/>
          <w:bCs w:val="0"/>
          <w:sz w:val="28"/>
          <w:szCs w:val="28"/>
          <w:u w:val="none"/>
          <w:lang w:val="ru-RU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74170E0"/>
    <w:multiLevelType w:val="singleLevel"/>
    <w:tmpl w:val="D74170E0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abstractNum w:abstractNumId="1">
    <w:nsid w:val="305146DD"/>
    <w:multiLevelType w:val="singleLevel"/>
    <w:tmpl w:val="305146DD"/>
    <w:lvl w:ilvl="0" w:tentative="0">
      <w:start w:val="1"/>
      <w:numFmt w:val="decimal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EA37BAD"/>
    <w:rsid w:val="17084CC3"/>
    <w:rsid w:val="4A257169"/>
    <w:rsid w:val="6BD31B31"/>
    <w:rsid w:val="6EA37BAD"/>
    <w:rsid w:val="7DDC5B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4">
    <w:name w:val="Table Grid"/>
    <w:basedOn w:val="3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0</Words>
  <Characters>0</Characters>
  <Lines>0</Lines>
  <Paragraphs>0</Paragraphs>
  <TotalTime>1409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2025-12-07T15:05:00Z</dcterms:created>
  <dc:creator>Тимур</dc:creator>
  <cp:lastModifiedBy>Тимур</cp:lastModifiedBy>
  <dcterms:modified xsi:type="dcterms:W3CDTF">2025-12-14T13:09:11Z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CD77062A120E4CB0B3228B23DC73164F_11</vt:lpwstr>
  </property>
</Properties>
</file>