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6F0819" w:rsidRDefault="0045472C" w:rsidP="00540BB9">
      <w:pPr>
        <w:rPr>
          <w:rFonts w:cstheme="minorHAnsi"/>
          <w:sz w:val="28"/>
          <w:szCs w:val="28"/>
        </w:rPr>
      </w:pPr>
      <w:r w:rsidRPr="006F0819">
        <w:rPr>
          <w:rFonts w:cstheme="minorHAnsi"/>
          <w:b/>
          <w:sz w:val="28"/>
          <w:szCs w:val="28"/>
        </w:rPr>
        <w:t xml:space="preserve">Microservices </w:t>
      </w:r>
      <w:r w:rsidR="00845D9A" w:rsidRPr="006F0819">
        <w:rPr>
          <w:rFonts w:cstheme="minorHAnsi"/>
          <w:b/>
          <w:sz w:val="28"/>
          <w:szCs w:val="28"/>
        </w:rPr>
        <w:t>Queries and API Composition</w:t>
      </w:r>
    </w:p>
    <w:p w:rsidR="00845D9A" w:rsidRPr="006F0819" w:rsidRDefault="00845D9A" w:rsidP="008031FE">
      <w:pPr>
        <w:pStyle w:val="ListParagraph"/>
        <w:numPr>
          <w:ilvl w:val="0"/>
          <w:numId w:val="1"/>
        </w:numPr>
        <w:rPr>
          <w:rFonts w:cstheme="minorHAnsi"/>
          <w:sz w:val="28"/>
          <w:szCs w:val="28"/>
        </w:rPr>
      </w:pPr>
      <w:r w:rsidRPr="006F0819">
        <w:rPr>
          <w:rFonts w:cstheme="minorHAnsi"/>
          <w:sz w:val="28"/>
          <w:szCs w:val="28"/>
        </w:rPr>
        <w:t>How do you query across microservices that own separate databases?</w:t>
      </w:r>
    </w:p>
    <w:p w:rsidR="00845D9A" w:rsidRPr="006F0819" w:rsidRDefault="00845D9A" w:rsidP="008031FE">
      <w:pPr>
        <w:pStyle w:val="ListParagraph"/>
        <w:numPr>
          <w:ilvl w:val="0"/>
          <w:numId w:val="1"/>
        </w:numPr>
        <w:rPr>
          <w:rFonts w:cstheme="minorHAnsi"/>
          <w:sz w:val="28"/>
          <w:szCs w:val="28"/>
        </w:rPr>
      </w:pPr>
      <w:r w:rsidRPr="006F0819">
        <w:rPr>
          <w:rFonts w:cstheme="minorHAnsi"/>
          <w:sz w:val="28"/>
          <w:szCs w:val="28"/>
        </w:rPr>
        <w:t>How does the CQRS (Command Query Responsibility Segregation) pattern work?</w:t>
      </w:r>
    </w:p>
    <w:p w:rsidR="00AA10FB" w:rsidRPr="006F0819" w:rsidRDefault="00845D9A" w:rsidP="008031FE">
      <w:pPr>
        <w:pStyle w:val="ListParagraph"/>
        <w:numPr>
          <w:ilvl w:val="0"/>
          <w:numId w:val="1"/>
        </w:numPr>
        <w:rPr>
          <w:rFonts w:cstheme="minorHAnsi"/>
          <w:sz w:val="28"/>
          <w:szCs w:val="28"/>
        </w:rPr>
      </w:pPr>
      <w:r w:rsidRPr="006F0819">
        <w:rPr>
          <w:rFonts w:cstheme="minorHAnsi"/>
          <w:sz w:val="28"/>
          <w:szCs w:val="28"/>
        </w:rPr>
        <w:t>What is API composition, and how does it aggregate data across microservices?</w:t>
      </w:r>
    </w:p>
    <w:p w:rsidR="00E55C12" w:rsidRPr="006F0819" w:rsidRDefault="00E55C12" w:rsidP="00AA10FB">
      <w:pPr>
        <w:rPr>
          <w:rFonts w:cstheme="minorHAnsi"/>
          <w:sz w:val="28"/>
          <w:szCs w:val="28"/>
        </w:rPr>
      </w:pPr>
    </w:p>
    <w:p w:rsidR="00845D9A" w:rsidRPr="006F0819" w:rsidRDefault="00845D9A" w:rsidP="00E55C12">
      <w:pPr>
        <w:rPr>
          <w:rFonts w:cstheme="minorHAnsi"/>
          <w:sz w:val="28"/>
          <w:szCs w:val="28"/>
        </w:rPr>
      </w:pPr>
    </w:p>
    <w:p w:rsidR="006F0819" w:rsidRPr="006F0819" w:rsidRDefault="006F0819" w:rsidP="006F0819">
      <w:pPr>
        <w:spacing w:before="100" w:beforeAutospacing="1" w:after="100" w:afterAutospacing="1" w:line="240" w:lineRule="auto"/>
        <w:outlineLvl w:val="2"/>
        <w:rPr>
          <w:rFonts w:eastAsia="Times New Roman" w:cstheme="minorHAnsi"/>
          <w:b/>
          <w:bCs/>
          <w:sz w:val="28"/>
          <w:szCs w:val="28"/>
        </w:rPr>
      </w:pPr>
      <w:r w:rsidRPr="006F0819">
        <w:rPr>
          <w:rFonts w:eastAsia="Times New Roman" w:cstheme="minorHAnsi"/>
          <w:b/>
          <w:bCs/>
          <w:sz w:val="28"/>
          <w:szCs w:val="28"/>
        </w:rPr>
        <w:t>1. How do you query across microservices that own separate databases?</w:t>
      </w:r>
    </w:p>
    <w:p w:rsidR="006F0819" w:rsidRPr="006F0819" w:rsidRDefault="006F0819" w:rsidP="006F0819">
      <w:pPr>
        <w:spacing w:before="100" w:beforeAutospacing="1" w:after="100" w:afterAutospacing="1" w:line="240" w:lineRule="auto"/>
        <w:rPr>
          <w:rFonts w:eastAsia="Times New Roman" w:cstheme="minorHAnsi"/>
          <w:sz w:val="28"/>
          <w:szCs w:val="28"/>
        </w:rPr>
      </w:pPr>
      <w:r w:rsidRPr="006F0819">
        <w:rPr>
          <w:rFonts w:eastAsia="Times New Roman" w:cstheme="minorHAnsi"/>
          <w:sz w:val="28"/>
          <w:szCs w:val="28"/>
        </w:rPr>
        <w:t>Querying across microservices that own separate databases can be challenging due to the decentralized nature of microservices. Here are several approaches to handle cross-microservice queries:</w:t>
      </w:r>
    </w:p>
    <w:p w:rsidR="006F0819" w:rsidRPr="006F0819" w:rsidRDefault="006F0819" w:rsidP="006F0819">
      <w:pPr>
        <w:numPr>
          <w:ilvl w:val="0"/>
          <w:numId w:val="29"/>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API Composition</w:t>
      </w:r>
      <w:r w:rsidRPr="006F0819">
        <w:rPr>
          <w:rFonts w:eastAsia="Times New Roman" w:cstheme="minorHAnsi"/>
          <w:sz w:val="28"/>
          <w:szCs w:val="28"/>
        </w:rPr>
        <w:t>: This approach involves creating a separate API or service (often called an API Gateway) that acts as an aggregator. When a query is needed, this service will make multiple calls to the relevant microservices, gather their responses, and then compose a single response to the client. This method is straightforward but can lead to performance issues due to the latency of multiple service calls.</w:t>
      </w:r>
    </w:p>
    <w:p w:rsidR="006F0819" w:rsidRPr="006F0819" w:rsidRDefault="006F0819" w:rsidP="006F0819">
      <w:pPr>
        <w:numPr>
          <w:ilvl w:val="0"/>
          <w:numId w:val="29"/>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Backend for Frontend (BFF)</w:t>
      </w:r>
      <w:r w:rsidRPr="006F0819">
        <w:rPr>
          <w:rFonts w:eastAsia="Times New Roman" w:cstheme="minorHAnsi"/>
          <w:sz w:val="28"/>
          <w:szCs w:val="28"/>
        </w:rPr>
        <w:t>: Similar to API composition, a BFF creates a dedicated backend layer for each client type (e.g., web, mobile). It can aggregate data from multiple microservices according to the specific needs of the client. This can optimize the data returned to the client, reducing over-fetching and under-fetching.</w:t>
      </w:r>
    </w:p>
    <w:p w:rsidR="006F0819" w:rsidRPr="006F0819" w:rsidRDefault="006F0819" w:rsidP="006F0819">
      <w:pPr>
        <w:numPr>
          <w:ilvl w:val="0"/>
          <w:numId w:val="29"/>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Event-Driven Architecture</w:t>
      </w:r>
      <w:r w:rsidRPr="006F0819">
        <w:rPr>
          <w:rFonts w:eastAsia="Times New Roman" w:cstheme="minorHAnsi"/>
          <w:sz w:val="28"/>
          <w:szCs w:val="28"/>
        </w:rPr>
        <w:t>: Utilize event sourcing and publish-subscribe mechanisms. Microservices can publish events whenever data changes, and other services can subscribe to these events to maintain a local read model or cache that can be queried. This allows for eventual consistency and reduces the need for synchronous calls.</w:t>
      </w:r>
    </w:p>
    <w:p w:rsidR="006F0819" w:rsidRPr="006F0819" w:rsidRDefault="006F0819" w:rsidP="006F0819">
      <w:pPr>
        <w:numPr>
          <w:ilvl w:val="0"/>
          <w:numId w:val="29"/>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lastRenderedPageBreak/>
        <w:t>Database Federation</w:t>
      </w:r>
      <w:r w:rsidRPr="006F0819">
        <w:rPr>
          <w:rFonts w:eastAsia="Times New Roman" w:cstheme="minorHAnsi"/>
          <w:sz w:val="28"/>
          <w:szCs w:val="28"/>
        </w:rPr>
        <w:t>: In some cases, you might implement a database federation layer that allows querying across multiple databases as if they were a single database. This approach can simplify querying but might introduce complexity in terms of data management and consistency.</w:t>
      </w:r>
    </w:p>
    <w:p w:rsidR="006F0819" w:rsidRPr="006F0819" w:rsidRDefault="006F0819" w:rsidP="006F0819">
      <w:pPr>
        <w:numPr>
          <w:ilvl w:val="0"/>
          <w:numId w:val="29"/>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Data Replication</w:t>
      </w:r>
      <w:r w:rsidRPr="006F0819">
        <w:rPr>
          <w:rFonts w:eastAsia="Times New Roman" w:cstheme="minorHAnsi"/>
          <w:sz w:val="28"/>
          <w:szCs w:val="28"/>
        </w:rPr>
        <w:t>: Some systems replicate relevant data from one microservice's database to another service's database. This can enable more efficient querying but increases the complexity of keeping the data in sync.</w:t>
      </w:r>
    </w:p>
    <w:p w:rsidR="006F0819" w:rsidRPr="006F0819" w:rsidRDefault="006F0819" w:rsidP="006F0819">
      <w:pPr>
        <w:numPr>
          <w:ilvl w:val="0"/>
          <w:numId w:val="29"/>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GraphQL</w:t>
      </w:r>
      <w:r w:rsidRPr="006F0819">
        <w:rPr>
          <w:rFonts w:eastAsia="Times New Roman" w:cstheme="minorHAnsi"/>
          <w:sz w:val="28"/>
          <w:szCs w:val="28"/>
        </w:rPr>
        <w:t>: If applicable, you can use GraphQL as a query language that allows clients to request exactly the data they need from multiple microservices in a single query. Each microservice can be a data source for the GraphQL server.</w:t>
      </w:r>
    </w:p>
    <w:p w:rsidR="006F0819" w:rsidRPr="006F0819" w:rsidRDefault="006F0819" w:rsidP="006F0819">
      <w:pPr>
        <w:numPr>
          <w:ilvl w:val="0"/>
          <w:numId w:val="29"/>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CQRS</w:t>
      </w:r>
      <w:r w:rsidRPr="006F0819">
        <w:rPr>
          <w:rFonts w:eastAsia="Times New Roman" w:cstheme="minorHAnsi"/>
          <w:sz w:val="28"/>
          <w:szCs w:val="28"/>
        </w:rPr>
        <w:t>: When combined with CQRS, you can separate the read models (queries) from the write models (commands). This allows you to create dedicated read models that may aggregate data from multiple microservices, optimizing read performance.</w:t>
      </w:r>
    </w:p>
    <w:p w:rsidR="006F0819" w:rsidRPr="006F0819" w:rsidRDefault="006F0819" w:rsidP="006F0819">
      <w:pPr>
        <w:spacing w:before="100" w:beforeAutospacing="1" w:after="100" w:afterAutospacing="1" w:line="240" w:lineRule="auto"/>
        <w:outlineLvl w:val="2"/>
        <w:rPr>
          <w:rFonts w:eastAsia="Times New Roman" w:cstheme="minorHAnsi"/>
          <w:b/>
          <w:bCs/>
          <w:sz w:val="28"/>
          <w:szCs w:val="28"/>
        </w:rPr>
      </w:pPr>
      <w:r w:rsidRPr="006F0819">
        <w:rPr>
          <w:rFonts w:eastAsia="Times New Roman" w:cstheme="minorHAnsi"/>
          <w:b/>
          <w:bCs/>
          <w:sz w:val="28"/>
          <w:szCs w:val="28"/>
        </w:rPr>
        <w:t>2. How does the CQRS (Command Query Responsibility Segregation) pattern work?</w:t>
      </w:r>
    </w:p>
    <w:p w:rsidR="006F0819" w:rsidRPr="006F0819" w:rsidRDefault="006F0819" w:rsidP="006F0819">
      <w:pPr>
        <w:spacing w:before="100" w:beforeAutospacing="1" w:after="100" w:afterAutospacing="1" w:line="240" w:lineRule="auto"/>
        <w:rPr>
          <w:rFonts w:eastAsia="Times New Roman" w:cstheme="minorHAnsi"/>
          <w:sz w:val="28"/>
          <w:szCs w:val="28"/>
        </w:rPr>
      </w:pPr>
      <w:r w:rsidRPr="006F0819">
        <w:rPr>
          <w:rFonts w:eastAsia="Times New Roman" w:cstheme="minorHAnsi"/>
          <w:sz w:val="28"/>
          <w:szCs w:val="28"/>
        </w:rPr>
        <w:t>CQRS is a design pattern that separates the responsibilities of handling commands (writes) from queries (reads). Here's how it works:</w:t>
      </w:r>
    </w:p>
    <w:p w:rsidR="006F0819" w:rsidRPr="006F0819" w:rsidRDefault="006F0819" w:rsidP="006F0819">
      <w:pPr>
        <w:numPr>
          <w:ilvl w:val="0"/>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Separation of Concerns</w:t>
      </w:r>
      <w:r w:rsidRPr="006F0819">
        <w:rPr>
          <w:rFonts w:eastAsia="Times New Roman" w:cstheme="minorHAnsi"/>
          <w:sz w:val="28"/>
          <w:szCs w:val="28"/>
        </w:rPr>
        <w:t>: In a typical CRUD application, the same data model is used for both reading and writing operations. With CQRS, you create separate models for command handling and query handling, allowing you to optimize each independently.</w:t>
      </w:r>
    </w:p>
    <w:p w:rsidR="006F0819" w:rsidRPr="006F0819" w:rsidRDefault="006F0819" w:rsidP="006F0819">
      <w:pPr>
        <w:numPr>
          <w:ilvl w:val="0"/>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Command Side</w:t>
      </w:r>
      <w:r w:rsidRPr="006F0819">
        <w:rPr>
          <w:rFonts w:eastAsia="Times New Roman" w:cstheme="minorHAnsi"/>
          <w:sz w:val="28"/>
          <w:szCs w:val="28"/>
        </w:rPr>
        <w:t>:</w:t>
      </w:r>
    </w:p>
    <w:p w:rsidR="006F0819" w:rsidRPr="006F0819" w:rsidRDefault="006F0819" w:rsidP="006F0819">
      <w:pPr>
        <w:numPr>
          <w:ilvl w:val="1"/>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Commands</w:t>
      </w:r>
      <w:r w:rsidRPr="006F0819">
        <w:rPr>
          <w:rFonts w:eastAsia="Times New Roman" w:cstheme="minorHAnsi"/>
          <w:sz w:val="28"/>
          <w:szCs w:val="28"/>
        </w:rPr>
        <w:t>: A command represents a request to change the state of the application (e.g., create, update, delete). Commands are processed by a command handler, which contains the business logic for validating and executing the command.</w:t>
      </w:r>
    </w:p>
    <w:p w:rsidR="006F0819" w:rsidRPr="006F0819" w:rsidRDefault="006F0819" w:rsidP="006F0819">
      <w:pPr>
        <w:numPr>
          <w:ilvl w:val="1"/>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lastRenderedPageBreak/>
        <w:t>Write Model</w:t>
      </w:r>
      <w:r w:rsidRPr="006F0819">
        <w:rPr>
          <w:rFonts w:eastAsia="Times New Roman" w:cstheme="minorHAnsi"/>
          <w:sz w:val="28"/>
          <w:szCs w:val="28"/>
        </w:rPr>
        <w:t>: The write model is responsible for managing the state of the application and can be implemented using any persistence technology (SQL, NoSQL, event stores, etc.). It may enforce business rules and invariants.</w:t>
      </w:r>
    </w:p>
    <w:p w:rsidR="006F0819" w:rsidRPr="006F0819" w:rsidRDefault="006F0819" w:rsidP="006F0819">
      <w:pPr>
        <w:numPr>
          <w:ilvl w:val="0"/>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Query Side</w:t>
      </w:r>
      <w:r w:rsidRPr="006F0819">
        <w:rPr>
          <w:rFonts w:eastAsia="Times New Roman" w:cstheme="minorHAnsi"/>
          <w:sz w:val="28"/>
          <w:szCs w:val="28"/>
        </w:rPr>
        <w:t>:</w:t>
      </w:r>
    </w:p>
    <w:p w:rsidR="006F0819" w:rsidRPr="006F0819" w:rsidRDefault="006F0819" w:rsidP="006F0819">
      <w:pPr>
        <w:numPr>
          <w:ilvl w:val="1"/>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Queries</w:t>
      </w:r>
      <w:r w:rsidRPr="006F0819">
        <w:rPr>
          <w:rFonts w:eastAsia="Times New Roman" w:cstheme="minorHAnsi"/>
          <w:sz w:val="28"/>
          <w:szCs w:val="28"/>
        </w:rPr>
        <w:t>: A query is a request to retrieve data without modifying the state. Queries are handled by query handlers, which access the read model.</w:t>
      </w:r>
    </w:p>
    <w:p w:rsidR="006F0819" w:rsidRPr="006F0819" w:rsidRDefault="006F0819" w:rsidP="006F0819">
      <w:pPr>
        <w:numPr>
          <w:ilvl w:val="1"/>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Read Model</w:t>
      </w:r>
      <w:r w:rsidRPr="006F0819">
        <w:rPr>
          <w:rFonts w:eastAsia="Times New Roman" w:cstheme="minorHAnsi"/>
          <w:sz w:val="28"/>
          <w:szCs w:val="28"/>
        </w:rPr>
        <w:t>: The read model is optimized for querying and can be denormalized for performance. It may be built using different technologies than the write model, allowing for tailored performance optimizations (e.g., using a NoSQL database for fast reads).</w:t>
      </w:r>
    </w:p>
    <w:p w:rsidR="006F0819" w:rsidRPr="006F0819" w:rsidRDefault="006F0819" w:rsidP="006F0819">
      <w:pPr>
        <w:numPr>
          <w:ilvl w:val="0"/>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Event Sourcing</w:t>
      </w:r>
      <w:r w:rsidRPr="006F0819">
        <w:rPr>
          <w:rFonts w:eastAsia="Times New Roman" w:cstheme="minorHAnsi"/>
          <w:sz w:val="28"/>
          <w:szCs w:val="28"/>
        </w:rPr>
        <w:t xml:space="preserve"> (optional): In some implementations of CQRS, event sourcing is used for the command side. Instead of storing the current state, the system stores a sequence of events that represent all changes made to the application. The current state can be rebuilt from these events, providing a complete audit trail.</w:t>
      </w:r>
    </w:p>
    <w:p w:rsidR="006F0819" w:rsidRPr="006F0819" w:rsidRDefault="006F0819" w:rsidP="006F0819">
      <w:pPr>
        <w:numPr>
          <w:ilvl w:val="0"/>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Benefits of CQRS</w:t>
      </w:r>
      <w:r w:rsidRPr="006F0819">
        <w:rPr>
          <w:rFonts w:eastAsia="Times New Roman" w:cstheme="minorHAnsi"/>
          <w:sz w:val="28"/>
          <w:szCs w:val="28"/>
        </w:rPr>
        <w:t>:</w:t>
      </w:r>
    </w:p>
    <w:p w:rsidR="006F0819" w:rsidRPr="006F0819" w:rsidRDefault="006F0819" w:rsidP="006F0819">
      <w:pPr>
        <w:numPr>
          <w:ilvl w:val="1"/>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Scalability</w:t>
      </w:r>
      <w:r w:rsidRPr="006F0819">
        <w:rPr>
          <w:rFonts w:eastAsia="Times New Roman" w:cstheme="minorHAnsi"/>
          <w:sz w:val="28"/>
          <w:szCs w:val="28"/>
        </w:rPr>
        <w:t>: The read and write sides can be scaled independently based on their respective load.</w:t>
      </w:r>
    </w:p>
    <w:p w:rsidR="006F0819" w:rsidRPr="006F0819" w:rsidRDefault="006F0819" w:rsidP="006F0819">
      <w:pPr>
        <w:numPr>
          <w:ilvl w:val="1"/>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Performance</w:t>
      </w:r>
      <w:r w:rsidRPr="006F0819">
        <w:rPr>
          <w:rFonts w:eastAsia="Times New Roman" w:cstheme="minorHAnsi"/>
          <w:sz w:val="28"/>
          <w:szCs w:val="28"/>
        </w:rPr>
        <w:t>: Optimizations can be applied to the read model without affecting the write model.</w:t>
      </w:r>
    </w:p>
    <w:p w:rsidR="006F0819" w:rsidRPr="006F0819" w:rsidRDefault="006F0819" w:rsidP="006F0819">
      <w:pPr>
        <w:numPr>
          <w:ilvl w:val="1"/>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Flexibility</w:t>
      </w:r>
      <w:r w:rsidRPr="006F0819">
        <w:rPr>
          <w:rFonts w:eastAsia="Times New Roman" w:cstheme="minorHAnsi"/>
          <w:sz w:val="28"/>
          <w:szCs w:val="28"/>
        </w:rPr>
        <w:t>: Different storage technologies can be used for reads and writes, allowing for tailored performance and storage strategies.</w:t>
      </w:r>
    </w:p>
    <w:p w:rsidR="006F0819" w:rsidRDefault="006F0819" w:rsidP="006F0819">
      <w:pPr>
        <w:numPr>
          <w:ilvl w:val="1"/>
          <w:numId w:val="30"/>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Complexity Management</w:t>
      </w:r>
      <w:r w:rsidRPr="006F0819">
        <w:rPr>
          <w:rFonts w:eastAsia="Times New Roman" w:cstheme="minorHAnsi"/>
          <w:sz w:val="28"/>
          <w:szCs w:val="28"/>
        </w:rPr>
        <w:t>: By separating commands and queries, you can manage complexity more effectively, especially in large applications.</w:t>
      </w:r>
    </w:p>
    <w:p w:rsidR="006F0819" w:rsidRPr="006F0819" w:rsidRDefault="006F0819" w:rsidP="006F0819">
      <w:pPr>
        <w:spacing w:before="100" w:beforeAutospacing="1" w:after="100" w:afterAutospacing="1" w:line="240" w:lineRule="auto"/>
        <w:rPr>
          <w:rFonts w:eastAsia="Times New Roman" w:cstheme="minorHAnsi"/>
          <w:sz w:val="28"/>
          <w:szCs w:val="28"/>
        </w:rPr>
      </w:pPr>
    </w:p>
    <w:p w:rsidR="006F0819" w:rsidRPr="006F0819" w:rsidRDefault="006F0819" w:rsidP="006F0819">
      <w:pPr>
        <w:spacing w:before="100" w:beforeAutospacing="1" w:after="100" w:afterAutospacing="1" w:line="240" w:lineRule="auto"/>
        <w:outlineLvl w:val="2"/>
        <w:rPr>
          <w:rFonts w:eastAsia="Times New Roman" w:cstheme="minorHAnsi"/>
          <w:b/>
          <w:bCs/>
          <w:sz w:val="28"/>
          <w:szCs w:val="28"/>
        </w:rPr>
      </w:pPr>
      <w:r w:rsidRPr="006F0819">
        <w:rPr>
          <w:rFonts w:eastAsia="Times New Roman" w:cstheme="minorHAnsi"/>
          <w:b/>
          <w:bCs/>
          <w:sz w:val="28"/>
          <w:szCs w:val="28"/>
        </w:rPr>
        <w:t>3. What is API composition, and how does it aggregate data across microservices?</w:t>
      </w:r>
    </w:p>
    <w:p w:rsidR="006F0819" w:rsidRPr="006F0819" w:rsidRDefault="006F0819" w:rsidP="006F0819">
      <w:pPr>
        <w:spacing w:before="100" w:beforeAutospacing="1" w:after="100" w:afterAutospacing="1" w:line="240" w:lineRule="auto"/>
        <w:rPr>
          <w:rFonts w:eastAsia="Times New Roman" w:cstheme="minorHAnsi"/>
          <w:sz w:val="28"/>
          <w:szCs w:val="28"/>
        </w:rPr>
      </w:pPr>
      <w:r w:rsidRPr="006F0819">
        <w:rPr>
          <w:rFonts w:eastAsia="Times New Roman" w:cstheme="minorHAnsi"/>
          <w:sz w:val="28"/>
          <w:szCs w:val="28"/>
        </w:rPr>
        <w:lastRenderedPageBreak/>
        <w:t>API composition is a pattern used to aggregate data from multiple microservices into a single response for a client request. It serves as a way to interact with multiple services and gather the necessary data without the client needing to know the details of each service. Here’s how it works:</w:t>
      </w:r>
    </w:p>
    <w:p w:rsidR="006F0819" w:rsidRPr="006F0819" w:rsidRDefault="006F0819" w:rsidP="006F0819">
      <w:pPr>
        <w:numPr>
          <w:ilvl w:val="0"/>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Single Entry Point</w:t>
      </w:r>
      <w:r w:rsidRPr="006F0819">
        <w:rPr>
          <w:rFonts w:eastAsia="Times New Roman" w:cstheme="minorHAnsi"/>
          <w:sz w:val="28"/>
          <w:szCs w:val="28"/>
        </w:rPr>
        <w:t>: API composition provides a single entry point (often an API Gateway or a dedicated composition service) for client applications to request data. This reduces the complexity for clients, allowing them to interact with one endpoint rather than multiple ones.</w:t>
      </w:r>
    </w:p>
    <w:p w:rsidR="006F0819" w:rsidRPr="006F0819" w:rsidRDefault="006F0819" w:rsidP="006F0819">
      <w:pPr>
        <w:numPr>
          <w:ilvl w:val="0"/>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Aggregating Responses</w:t>
      </w:r>
      <w:r w:rsidRPr="006F0819">
        <w:rPr>
          <w:rFonts w:eastAsia="Times New Roman" w:cstheme="minorHAnsi"/>
          <w:sz w:val="28"/>
          <w:szCs w:val="28"/>
        </w:rPr>
        <w:t>:</w:t>
      </w:r>
    </w:p>
    <w:p w:rsidR="006F0819" w:rsidRPr="006F0819" w:rsidRDefault="006F0819" w:rsidP="006F0819">
      <w:pPr>
        <w:numPr>
          <w:ilvl w:val="1"/>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sz w:val="28"/>
          <w:szCs w:val="28"/>
        </w:rPr>
        <w:t>When a client makes a request to the composition service, the service identifies which microservices need to be called based on the request's data requirements.</w:t>
      </w:r>
    </w:p>
    <w:p w:rsidR="006F0819" w:rsidRPr="006F0819" w:rsidRDefault="006F0819" w:rsidP="006F0819">
      <w:pPr>
        <w:numPr>
          <w:ilvl w:val="1"/>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sz w:val="28"/>
          <w:szCs w:val="28"/>
        </w:rPr>
        <w:t>The composition service makes concurrent or sequential calls to these microservices to fetch the necessary data.</w:t>
      </w:r>
    </w:p>
    <w:p w:rsidR="006F0819" w:rsidRPr="006F0819" w:rsidRDefault="006F0819" w:rsidP="006F0819">
      <w:pPr>
        <w:numPr>
          <w:ilvl w:val="0"/>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Data Transformation</w:t>
      </w:r>
      <w:r w:rsidRPr="006F0819">
        <w:rPr>
          <w:rFonts w:eastAsia="Times New Roman" w:cstheme="minorHAnsi"/>
          <w:sz w:val="28"/>
          <w:szCs w:val="28"/>
        </w:rPr>
        <w:t>: After retrieving data from the microservices, the composition service may transform, merge, or filter the data as needed to fit the client's requirements. This might include:</w:t>
      </w:r>
    </w:p>
    <w:p w:rsidR="006F0819" w:rsidRPr="006F0819" w:rsidRDefault="006F0819" w:rsidP="006F0819">
      <w:pPr>
        <w:numPr>
          <w:ilvl w:val="1"/>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sz w:val="28"/>
          <w:szCs w:val="28"/>
        </w:rPr>
        <w:t>Mapping fields from different responses to a unified structure.</w:t>
      </w:r>
    </w:p>
    <w:p w:rsidR="006F0819" w:rsidRPr="006F0819" w:rsidRDefault="006F0819" w:rsidP="006F0819">
      <w:pPr>
        <w:numPr>
          <w:ilvl w:val="1"/>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sz w:val="28"/>
          <w:szCs w:val="28"/>
        </w:rPr>
        <w:t>Filtering unnecessary data.</w:t>
      </w:r>
    </w:p>
    <w:p w:rsidR="006F0819" w:rsidRPr="006F0819" w:rsidRDefault="006F0819" w:rsidP="006F0819">
      <w:pPr>
        <w:numPr>
          <w:ilvl w:val="1"/>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sz w:val="28"/>
          <w:szCs w:val="28"/>
        </w:rPr>
        <w:t>Combining results from multiple sources.</w:t>
      </w:r>
    </w:p>
    <w:p w:rsidR="006F0819" w:rsidRPr="006F0819" w:rsidRDefault="006F0819" w:rsidP="006F0819">
      <w:pPr>
        <w:numPr>
          <w:ilvl w:val="0"/>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Return Response</w:t>
      </w:r>
      <w:r w:rsidRPr="006F0819">
        <w:rPr>
          <w:rFonts w:eastAsia="Times New Roman" w:cstheme="minorHAnsi"/>
          <w:sz w:val="28"/>
          <w:szCs w:val="28"/>
        </w:rPr>
        <w:t>: Once the data is aggregated and transformed, the composition service returns a single, cohesive response to the client.</w:t>
      </w:r>
    </w:p>
    <w:p w:rsidR="006F0819" w:rsidRPr="006F0819" w:rsidRDefault="006F0819" w:rsidP="006F0819">
      <w:pPr>
        <w:numPr>
          <w:ilvl w:val="0"/>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Benefits of API Composition</w:t>
      </w:r>
      <w:r w:rsidRPr="006F0819">
        <w:rPr>
          <w:rFonts w:eastAsia="Times New Roman" w:cstheme="minorHAnsi"/>
          <w:sz w:val="28"/>
          <w:szCs w:val="28"/>
        </w:rPr>
        <w:t>:</w:t>
      </w:r>
    </w:p>
    <w:p w:rsidR="006F0819" w:rsidRPr="006F0819" w:rsidRDefault="006F0819" w:rsidP="006F0819">
      <w:pPr>
        <w:numPr>
          <w:ilvl w:val="1"/>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Simplified Client Logic</w:t>
      </w:r>
      <w:r w:rsidRPr="006F0819">
        <w:rPr>
          <w:rFonts w:eastAsia="Times New Roman" w:cstheme="minorHAnsi"/>
          <w:sz w:val="28"/>
          <w:szCs w:val="28"/>
        </w:rPr>
        <w:t>: Clients only need to interact with one endpoint, simplifying client-side code and reducing the need for complex client-side logic to manage multiple service calls.</w:t>
      </w:r>
    </w:p>
    <w:p w:rsidR="006F0819" w:rsidRPr="006F0819" w:rsidRDefault="006F0819" w:rsidP="006F0819">
      <w:pPr>
        <w:numPr>
          <w:ilvl w:val="1"/>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Flexibility</w:t>
      </w:r>
      <w:r w:rsidRPr="006F0819">
        <w:rPr>
          <w:rFonts w:eastAsia="Times New Roman" w:cstheme="minorHAnsi"/>
          <w:sz w:val="28"/>
          <w:szCs w:val="28"/>
        </w:rPr>
        <w:t>: Changes to the underlying microservices or their data structures can often be managed in the composition layer without affecting client applications.</w:t>
      </w:r>
    </w:p>
    <w:p w:rsidR="006F0819" w:rsidRPr="006F0819" w:rsidRDefault="006F0819" w:rsidP="006F0819">
      <w:pPr>
        <w:numPr>
          <w:ilvl w:val="1"/>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Reduced Over-fetching</w:t>
      </w:r>
      <w:r w:rsidRPr="006F0819">
        <w:rPr>
          <w:rFonts w:eastAsia="Times New Roman" w:cstheme="minorHAnsi"/>
          <w:sz w:val="28"/>
          <w:szCs w:val="28"/>
        </w:rPr>
        <w:t>: The composition service can tailor responses to only include the data that the client actually needs, reducing unnecessary data transfer.</w:t>
      </w:r>
    </w:p>
    <w:p w:rsidR="006F0819" w:rsidRPr="006F0819" w:rsidRDefault="006F0819" w:rsidP="006F0819">
      <w:pPr>
        <w:numPr>
          <w:ilvl w:val="0"/>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Challenges</w:t>
      </w:r>
      <w:r w:rsidRPr="006F0819">
        <w:rPr>
          <w:rFonts w:eastAsia="Times New Roman" w:cstheme="minorHAnsi"/>
          <w:sz w:val="28"/>
          <w:szCs w:val="28"/>
        </w:rPr>
        <w:t>:</w:t>
      </w:r>
    </w:p>
    <w:p w:rsidR="006F0819" w:rsidRPr="006F0819" w:rsidRDefault="006F0819" w:rsidP="006F0819">
      <w:pPr>
        <w:numPr>
          <w:ilvl w:val="1"/>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lastRenderedPageBreak/>
        <w:t>Latency</w:t>
      </w:r>
      <w:r w:rsidRPr="006F0819">
        <w:rPr>
          <w:rFonts w:eastAsia="Times New Roman" w:cstheme="minorHAnsi"/>
          <w:sz w:val="28"/>
          <w:szCs w:val="28"/>
        </w:rPr>
        <w:t>: Making multiple service calls can introduce latency, especially if the services are slow to respond or if network issues arise. Proper caching strategies or load balancing can help mitigate this.</w:t>
      </w:r>
    </w:p>
    <w:p w:rsidR="006F0819" w:rsidRPr="006F0819" w:rsidRDefault="006F0819" w:rsidP="006F0819">
      <w:pPr>
        <w:numPr>
          <w:ilvl w:val="1"/>
          <w:numId w:val="31"/>
        </w:numPr>
        <w:spacing w:before="100" w:beforeAutospacing="1" w:after="100" w:afterAutospacing="1" w:line="240" w:lineRule="auto"/>
        <w:rPr>
          <w:rFonts w:eastAsia="Times New Roman" w:cstheme="minorHAnsi"/>
          <w:sz w:val="28"/>
          <w:szCs w:val="28"/>
        </w:rPr>
      </w:pPr>
      <w:r w:rsidRPr="006F0819">
        <w:rPr>
          <w:rFonts w:eastAsia="Times New Roman" w:cstheme="minorHAnsi"/>
          <w:b/>
          <w:bCs/>
          <w:sz w:val="28"/>
          <w:szCs w:val="28"/>
        </w:rPr>
        <w:t>Error Handling</w:t>
      </w:r>
      <w:r w:rsidRPr="006F0819">
        <w:rPr>
          <w:rFonts w:eastAsia="Times New Roman" w:cstheme="minorHAnsi"/>
          <w:sz w:val="28"/>
          <w:szCs w:val="28"/>
        </w:rPr>
        <w:t>: The composition service must handle errors from individual service calls gracefully, ensuring that failures in one service do not break the entire response.</w:t>
      </w:r>
    </w:p>
    <w:p w:rsidR="00F002C3" w:rsidRPr="006F0819" w:rsidRDefault="00F002C3" w:rsidP="006F0819">
      <w:pPr>
        <w:rPr>
          <w:rFonts w:eastAsia="Times New Roman" w:cstheme="minorHAnsi"/>
          <w:sz w:val="28"/>
          <w:szCs w:val="28"/>
        </w:rPr>
      </w:pPr>
    </w:p>
    <w:sectPr w:rsidR="00F002C3" w:rsidRPr="006F0819" w:rsidSect="00540BB9">
      <w:pgSz w:w="15840" w:h="12240" w:orient="landscape"/>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6F19" w:rsidRDefault="00586F19" w:rsidP="00845D9A">
      <w:pPr>
        <w:spacing w:after="0" w:line="240" w:lineRule="auto"/>
      </w:pPr>
      <w:r>
        <w:separator/>
      </w:r>
    </w:p>
  </w:endnote>
  <w:endnote w:type="continuationSeparator" w:id="1">
    <w:p w:rsidR="00586F19" w:rsidRDefault="00586F19" w:rsidP="00845D9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6F19" w:rsidRDefault="00586F19" w:rsidP="00845D9A">
      <w:pPr>
        <w:spacing w:after="0" w:line="240" w:lineRule="auto"/>
      </w:pPr>
      <w:r>
        <w:separator/>
      </w:r>
    </w:p>
  </w:footnote>
  <w:footnote w:type="continuationSeparator" w:id="1">
    <w:p w:rsidR="00586F19" w:rsidRDefault="00586F19" w:rsidP="00845D9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0478B"/>
    <w:multiLevelType w:val="multilevel"/>
    <w:tmpl w:val="CA2E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D009E6"/>
    <w:multiLevelType w:val="multilevel"/>
    <w:tmpl w:val="EE141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512DDA"/>
    <w:multiLevelType w:val="multilevel"/>
    <w:tmpl w:val="7334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C40421"/>
    <w:multiLevelType w:val="multilevel"/>
    <w:tmpl w:val="0770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BB4E6F"/>
    <w:multiLevelType w:val="multilevel"/>
    <w:tmpl w:val="7F4C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3E7DC5"/>
    <w:multiLevelType w:val="multilevel"/>
    <w:tmpl w:val="895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362460"/>
    <w:multiLevelType w:val="multilevel"/>
    <w:tmpl w:val="470E5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501E97"/>
    <w:multiLevelType w:val="multilevel"/>
    <w:tmpl w:val="651A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724ED3"/>
    <w:multiLevelType w:val="multilevel"/>
    <w:tmpl w:val="717AE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E4368D"/>
    <w:multiLevelType w:val="multilevel"/>
    <w:tmpl w:val="21F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0B32B0"/>
    <w:multiLevelType w:val="multilevel"/>
    <w:tmpl w:val="8664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414670"/>
    <w:multiLevelType w:val="multilevel"/>
    <w:tmpl w:val="0A9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BB5273"/>
    <w:multiLevelType w:val="multilevel"/>
    <w:tmpl w:val="A1860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623AE7"/>
    <w:multiLevelType w:val="multilevel"/>
    <w:tmpl w:val="D8EA1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61D253F"/>
    <w:multiLevelType w:val="multilevel"/>
    <w:tmpl w:val="514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95121D"/>
    <w:multiLevelType w:val="multilevel"/>
    <w:tmpl w:val="0AA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70232E"/>
    <w:multiLevelType w:val="multilevel"/>
    <w:tmpl w:val="A44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417D5A"/>
    <w:multiLevelType w:val="multilevel"/>
    <w:tmpl w:val="95EA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9D007A"/>
    <w:multiLevelType w:val="multilevel"/>
    <w:tmpl w:val="E51A9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36535C9"/>
    <w:multiLevelType w:val="multilevel"/>
    <w:tmpl w:val="60BEE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3D33A6"/>
    <w:multiLevelType w:val="multilevel"/>
    <w:tmpl w:val="585C4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C3317E7"/>
    <w:multiLevelType w:val="multilevel"/>
    <w:tmpl w:val="420A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13F1AF1"/>
    <w:multiLevelType w:val="multilevel"/>
    <w:tmpl w:val="A87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D17967"/>
    <w:multiLevelType w:val="multilevel"/>
    <w:tmpl w:val="5260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ABF1FEA"/>
    <w:multiLevelType w:val="multilevel"/>
    <w:tmpl w:val="062A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D11F10"/>
    <w:multiLevelType w:val="multilevel"/>
    <w:tmpl w:val="B1D0E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E02335D"/>
    <w:multiLevelType w:val="multilevel"/>
    <w:tmpl w:val="62E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F100DE"/>
    <w:multiLevelType w:val="multilevel"/>
    <w:tmpl w:val="D71C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0C0453"/>
    <w:multiLevelType w:val="multilevel"/>
    <w:tmpl w:val="367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59753F"/>
    <w:multiLevelType w:val="multilevel"/>
    <w:tmpl w:val="A29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87869BC"/>
    <w:multiLevelType w:val="hybridMultilevel"/>
    <w:tmpl w:val="2416A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15"/>
  </w:num>
  <w:num w:numId="3">
    <w:abstractNumId w:val="29"/>
  </w:num>
  <w:num w:numId="4">
    <w:abstractNumId w:val="4"/>
  </w:num>
  <w:num w:numId="5">
    <w:abstractNumId w:val="27"/>
  </w:num>
  <w:num w:numId="6">
    <w:abstractNumId w:val="14"/>
  </w:num>
  <w:num w:numId="7">
    <w:abstractNumId w:val="23"/>
  </w:num>
  <w:num w:numId="8">
    <w:abstractNumId w:val="2"/>
  </w:num>
  <w:num w:numId="9">
    <w:abstractNumId w:val="5"/>
  </w:num>
  <w:num w:numId="10">
    <w:abstractNumId w:val="17"/>
  </w:num>
  <w:num w:numId="11">
    <w:abstractNumId w:val="3"/>
  </w:num>
  <w:num w:numId="12">
    <w:abstractNumId w:val="10"/>
  </w:num>
  <w:num w:numId="13">
    <w:abstractNumId w:val="28"/>
  </w:num>
  <w:num w:numId="14">
    <w:abstractNumId w:val="16"/>
  </w:num>
  <w:num w:numId="15">
    <w:abstractNumId w:val="0"/>
  </w:num>
  <w:num w:numId="16">
    <w:abstractNumId w:val="25"/>
  </w:num>
  <w:num w:numId="17">
    <w:abstractNumId w:val="13"/>
  </w:num>
  <w:num w:numId="18">
    <w:abstractNumId w:val="12"/>
  </w:num>
  <w:num w:numId="19">
    <w:abstractNumId w:val="6"/>
  </w:num>
  <w:num w:numId="20">
    <w:abstractNumId w:val="20"/>
  </w:num>
  <w:num w:numId="21">
    <w:abstractNumId w:val="26"/>
  </w:num>
  <w:num w:numId="22">
    <w:abstractNumId w:val="21"/>
  </w:num>
  <w:num w:numId="23">
    <w:abstractNumId w:val="22"/>
  </w:num>
  <w:num w:numId="24">
    <w:abstractNumId w:val="24"/>
  </w:num>
  <w:num w:numId="25">
    <w:abstractNumId w:val="7"/>
  </w:num>
  <w:num w:numId="26">
    <w:abstractNumId w:val="8"/>
  </w:num>
  <w:num w:numId="27">
    <w:abstractNumId w:val="11"/>
  </w:num>
  <w:num w:numId="28">
    <w:abstractNumId w:val="18"/>
  </w:num>
  <w:num w:numId="29">
    <w:abstractNumId w:val="9"/>
  </w:num>
  <w:num w:numId="30">
    <w:abstractNumId w:val="1"/>
  </w:num>
  <w:num w:numId="31">
    <w:abstractNumId w:val="19"/>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540BB9"/>
    <w:rsid w:val="000F7D56"/>
    <w:rsid w:val="00124E67"/>
    <w:rsid w:val="00273E12"/>
    <w:rsid w:val="002B2FD0"/>
    <w:rsid w:val="003233F6"/>
    <w:rsid w:val="00366B7C"/>
    <w:rsid w:val="00375CA3"/>
    <w:rsid w:val="0045472C"/>
    <w:rsid w:val="0045630F"/>
    <w:rsid w:val="00540BB9"/>
    <w:rsid w:val="00586F19"/>
    <w:rsid w:val="005C2339"/>
    <w:rsid w:val="005C710C"/>
    <w:rsid w:val="00635CB4"/>
    <w:rsid w:val="006D0CA4"/>
    <w:rsid w:val="006E0BA8"/>
    <w:rsid w:val="006F0819"/>
    <w:rsid w:val="006F50AF"/>
    <w:rsid w:val="007D6817"/>
    <w:rsid w:val="008031FE"/>
    <w:rsid w:val="008068A8"/>
    <w:rsid w:val="00845D9A"/>
    <w:rsid w:val="009F752B"/>
    <w:rsid w:val="00AA10FB"/>
    <w:rsid w:val="00C04687"/>
    <w:rsid w:val="00CE5BF7"/>
    <w:rsid w:val="00E22291"/>
    <w:rsid w:val="00E37CF3"/>
    <w:rsid w:val="00E55C12"/>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paragraph" w:styleId="Header">
    <w:name w:val="header"/>
    <w:basedOn w:val="Normal"/>
    <w:link w:val="HeaderChar"/>
    <w:uiPriority w:val="99"/>
    <w:semiHidden/>
    <w:unhideWhenUsed/>
    <w:rsid w:val="00845D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5D9A"/>
  </w:style>
  <w:style w:type="paragraph" w:styleId="Footer">
    <w:name w:val="footer"/>
    <w:basedOn w:val="Normal"/>
    <w:link w:val="FooterChar"/>
    <w:uiPriority w:val="99"/>
    <w:semiHidden/>
    <w:unhideWhenUsed/>
    <w:rsid w:val="00845D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5D9A"/>
  </w:style>
  <w:style w:type="character" w:customStyle="1" w:styleId="hljs-operator">
    <w:name w:val="hljs-operator"/>
    <w:basedOn w:val="DefaultParagraphFont"/>
    <w:rsid w:val="00366B7C"/>
  </w:style>
  <w:style w:type="character" w:customStyle="1" w:styleId="hljs-punctuation">
    <w:name w:val="hljs-punctuation"/>
    <w:basedOn w:val="DefaultParagraphFont"/>
    <w:rsid w:val="00366B7C"/>
  </w:style>
  <w:style w:type="character" w:customStyle="1" w:styleId="hljs-symbol">
    <w:name w:val="hljs-symbol"/>
    <w:basedOn w:val="DefaultParagraphFont"/>
    <w:rsid w:val="00366B7C"/>
  </w:style>
</w:styles>
</file>

<file path=word/webSettings.xml><?xml version="1.0" encoding="utf-8"?>
<w:webSettings xmlns:r="http://schemas.openxmlformats.org/officeDocument/2006/relationships" xmlns:w="http://schemas.openxmlformats.org/wordprocessingml/2006/main">
  <w:divs>
    <w:div w:id="58403477">
      <w:bodyDiv w:val="1"/>
      <w:marLeft w:val="0"/>
      <w:marRight w:val="0"/>
      <w:marTop w:val="0"/>
      <w:marBottom w:val="0"/>
      <w:divBdr>
        <w:top w:val="none" w:sz="0" w:space="0" w:color="auto"/>
        <w:left w:val="none" w:sz="0" w:space="0" w:color="auto"/>
        <w:bottom w:val="none" w:sz="0" w:space="0" w:color="auto"/>
        <w:right w:val="none" w:sz="0" w:space="0" w:color="auto"/>
      </w:divBdr>
      <w:divsChild>
        <w:div w:id="463083389">
          <w:marLeft w:val="0"/>
          <w:marRight w:val="0"/>
          <w:marTop w:val="0"/>
          <w:marBottom w:val="0"/>
          <w:divBdr>
            <w:top w:val="none" w:sz="0" w:space="0" w:color="auto"/>
            <w:left w:val="none" w:sz="0" w:space="0" w:color="auto"/>
            <w:bottom w:val="none" w:sz="0" w:space="0" w:color="auto"/>
            <w:right w:val="none" w:sz="0" w:space="0" w:color="auto"/>
          </w:divBdr>
          <w:divsChild>
            <w:div w:id="277226121">
              <w:marLeft w:val="0"/>
              <w:marRight w:val="0"/>
              <w:marTop w:val="0"/>
              <w:marBottom w:val="0"/>
              <w:divBdr>
                <w:top w:val="none" w:sz="0" w:space="0" w:color="auto"/>
                <w:left w:val="none" w:sz="0" w:space="0" w:color="auto"/>
                <w:bottom w:val="none" w:sz="0" w:space="0" w:color="auto"/>
                <w:right w:val="none" w:sz="0" w:space="0" w:color="auto"/>
              </w:divBdr>
            </w:div>
            <w:div w:id="1659503254">
              <w:marLeft w:val="0"/>
              <w:marRight w:val="0"/>
              <w:marTop w:val="0"/>
              <w:marBottom w:val="0"/>
              <w:divBdr>
                <w:top w:val="none" w:sz="0" w:space="0" w:color="auto"/>
                <w:left w:val="none" w:sz="0" w:space="0" w:color="auto"/>
                <w:bottom w:val="none" w:sz="0" w:space="0" w:color="auto"/>
                <w:right w:val="none" w:sz="0" w:space="0" w:color="auto"/>
              </w:divBdr>
              <w:divsChild>
                <w:div w:id="571044948">
                  <w:marLeft w:val="0"/>
                  <w:marRight w:val="0"/>
                  <w:marTop w:val="0"/>
                  <w:marBottom w:val="0"/>
                  <w:divBdr>
                    <w:top w:val="none" w:sz="0" w:space="0" w:color="auto"/>
                    <w:left w:val="none" w:sz="0" w:space="0" w:color="auto"/>
                    <w:bottom w:val="none" w:sz="0" w:space="0" w:color="auto"/>
                    <w:right w:val="none" w:sz="0" w:space="0" w:color="auto"/>
                  </w:divBdr>
                  <w:divsChild>
                    <w:div w:id="18233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57887">
              <w:marLeft w:val="0"/>
              <w:marRight w:val="0"/>
              <w:marTop w:val="0"/>
              <w:marBottom w:val="0"/>
              <w:divBdr>
                <w:top w:val="none" w:sz="0" w:space="0" w:color="auto"/>
                <w:left w:val="none" w:sz="0" w:space="0" w:color="auto"/>
                <w:bottom w:val="none" w:sz="0" w:space="0" w:color="auto"/>
                <w:right w:val="none" w:sz="0" w:space="0" w:color="auto"/>
              </w:divBdr>
            </w:div>
          </w:divsChild>
        </w:div>
        <w:div w:id="1963267748">
          <w:marLeft w:val="0"/>
          <w:marRight w:val="0"/>
          <w:marTop w:val="0"/>
          <w:marBottom w:val="0"/>
          <w:divBdr>
            <w:top w:val="none" w:sz="0" w:space="0" w:color="auto"/>
            <w:left w:val="none" w:sz="0" w:space="0" w:color="auto"/>
            <w:bottom w:val="none" w:sz="0" w:space="0" w:color="auto"/>
            <w:right w:val="none" w:sz="0" w:space="0" w:color="auto"/>
          </w:divBdr>
          <w:divsChild>
            <w:div w:id="561453041">
              <w:marLeft w:val="0"/>
              <w:marRight w:val="0"/>
              <w:marTop w:val="0"/>
              <w:marBottom w:val="0"/>
              <w:divBdr>
                <w:top w:val="none" w:sz="0" w:space="0" w:color="auto"/>
                <w:left w:val="none" w:sz="0" w:space="0" w:color="auto"/>
                <w:bottom w:val="none" w:sz="0" w:space="0" w:color="auto"/>
                <w:right w:val="none" w:sz="0" w:space="0" w:color="auto"/>
              </w:divBdr>
            </w:div>
            <w:div w:id="779446164">
              <w:marLeft w:val="0"/>
              <w:marRight w:val="0"/>
              <w:marTop w:val="0"/>
              <w:marBottom w:val="0"/>
              <w:divBdr>
                <w:top w:val="none" w:sz="0" w:space="0" w:color="auto"/>
                <w:left w:val="none" w:sz="0" w:space="0" w:color="auto"/>
                <w:bottom w:val="none" w:sz="0" w:space="0" w:color="auto"/>
                <w:right w:val="none" w:sz="0" w:space="0" w:color="auto"/>
              </w:divBdr>
              <w:divsChild>
                <w:div w:id="1976980894">
                  <w:marLeft w:val="0"/>
                  <w:marRight w:val="0"/>
                  <w:marTop w:val="0"/>
                  <w:marBottom w:val="0"/>
                  <w:divBdr>
                    <w:top w:val="none" w:sz="0" w:space="0" w:color="auto"/>
                    <w:left w:val="none" w:sz="0" w:space="0" w:color="auto"/>
                    <w:bottom w:val="none" w:sz="0" w:space="0" w:color="auto"/>
                    <w:right w:val="none" w:sz="0" w:space="0" w:color="auto"/>
                  </w:divBdr>
                  <w:divsChild>
                    <w:div w:id="208656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5376">
      <w:bodyDiv w:val="1"/>
      <w:marLeft w:val="0"/>
      <w:marRight w:val="0"/>
      <w:marTop w:val="0"/>
      <w:marBottom w:val="0"/>
      <w:divBdr>
        <w:top w:val="none" w:sz="0" w:space="0" w:color="auto"/>
        <w:left w:val="none" w:sz="0" w:space="0" w:color="auto"/>
        <w:bottom w:val="none" w:sz="0" w:space="0" w:color="auto"/>
        <w:right w:val="none" w:sz="0" w:space="0" w:color="auto"/>
      </w:divBdr>
    </w:div>
    <w:div w:id="124278797">
      <w:bodyDiv w:val="1"/>
      <w:marLeft w:val="0"/>
      <w:marRight w:val="0"/>
      <w:marTop w:val="0"/>
      <w:marBottom w:val="0"/>
      <w:divBdr>
        <w:top w:val="none" w:sz="0" w:space="0" w:color="auto"/>
        <w:left w:val="none" w:sz="0" w:space="0" w:color="auto"/>
        <w:bottom w:val="none" w:sz="0" w:space="0" w:color="auto"/>
        <w:right w:val="none" w:sz="0" w:space="0" w:color="auto"/>
      </w:divBdr>
      <w:divsChild>
        <w:div w:id="1251348977">
          <w:marLeft w:val="0"/>
          <w:marRight w:val="0"/>
          <w:marTop w:val="0"/>
          <w:marBottom w:val="0"/>
          <w:divBdr>
            <w:top w:val="none" w:sz="0" w:space="0" w:color="auto"/>
            <w:left w:val="none" w:sz="0" w:space="0" w:color="auto"/>
            <w:bottom w:val="none" w:sz="0" w:space="0" w:color="auto"/>
            <w:right w:val="none" w:sz="0" w:space="0" w:color="auto"/>
          </w:divBdr>
          <w:divsChild>
            <w:div w:id="969440146">
              <w:marLeft w:val="0"/>
              <w:marRight w:val="0"/>
              <w:marTop w:val="0"/>
              <w:marBottom w:val="0"/>
              <w:divBdr>
                <w:top w:val="none" w:sz="0" w:space="0" w:color="auto"/>
                <w:left w:val="none" w:sz="0" w:space="0" w:color="auto"/>
                <w:bottom w:val="none" w:sz="0" w:space="0" w:color="auto"/>
                <w:right w:val="none" w:sz="0" w:space="0" w:color="auto"/>
              </w:divBdr>
            </w:div>
            <w:div w:id="626549496">
              <w:marLeft w:val="0"/>
              <w:marRight w:val="0"/>
              <w:marTop w:val="0"/>
              <w:marBottom w:val="0"/>
              <w:divBdr>
                <w:top w:val="none" w:sz="0" w:space="0" w:color="auto"/>
                <w:left w:val="none" w:sz="0" w:space="0" w:color="auto"/>
                <w:bottom w:val="none" w:sz="0" w:space="0" w:color="auto"/>
                <w:right w:val="none" w:sz="0" w:space="0" w:color="auto"/>
              </w:divBdr>
              <w:divsChild>
                <w:div w:id="1039359694">
                  <w:marLeft w:val="0"/>
                  <w:marRight w:val="0"/>
                  <w:marTop w:val="0"/>
                  <w:marBottom w:val="0"/>
                  <w:divBdr>
                    <w:top w:val="none" w:sz="0" w:space="0" w:color="auto"/>
                    <w:left w:val="none" w:sz="0" w:space="0" w:color="auto"/>
                    <w:bottom w:val="none" w:sz="0" w:space="0" w:color="auto"/>
                    <w:right w:val="none" w:sz="0" w:space="0" w:color="auto"/>
                  </w:divBdr>
                  <w:divsChild>
                    <w:div w:id="111085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1254">
              <w:marLeft w:val="0"/>
              <w:marRight w:val="0"/>
              <w:marTop w:val="0"/>
              <w:marBottom w:val="0"/>
              <w:divBdr>
                <w:top w:val="none" w:sz="0" w:space="0" w:color="auto"/>
                <w:left w:val="none" w:sz="0" w:space="0" w:color="auto"/>
                <w:bottom w:val="none" w:sz="0" w:space="0" w:color="auto"/>
                <w:right w:val="none" w:sz="0" w:space="0" w:color="auto"/>
              </w:divBdr>
            </w:div>
          </w:divsChild>
        </w:div>
        <w:div w:id="1323698494">
          <w:marLeft w:val="0"/>
          <w:marRight w:val="0"/>
          <w:marTop w:val="0"/>
          <w:marBottom w:val="0"/>
          <w:divBdr>
            <w:top w:val="none" w:sz="0" w:space="0" w:color="auto"/>
            <w:left w:val="none" w:sz="0" w:space="0" w:color="auto"/>
            <w:bottom w:val="none" w:sz="0" w:space="0" w:color="auto"/>
            <w:right w:val="none" w:sz="0" w:space="0" w:color="auto"/>
          </w:divBdr>
          <w:divsChild>
            <w:div w:id="915675037">
              <w:marLeft w:val="0"/>
              <w:marRight w:val="0"/>
              <w:marTop w:val="0"/>
              <w:marBottom w:val="0"/>
              <w:divBdr>
                <w:top w:val="none" w:sz="0" w:space="0" w:color="auto"/>
                <w:left w:val="none" w:sz="0" w:space="0" w:color="auto"/>
                <w:bottom w:val="none" w:sz="0" w:space="0" w:color="auto"/>
                <w:right w:val="none" w:sz="0" w:space="0" w:color="auto"/>
              </w:divBdr>
            </w:div>
            <w:div w:id="764767987">
              <w:marLeft w:val="0"/>
              <w:marRight w:val="0"/>
              <w:marTop w:val="0"/>
              <w:marBottom w:val="0"/>
              <w:divBdr>
                <w:top w:val="none" w:sz="0" w:space="0" w:color="auto"/>
                <w:left w:val="none" w:sz="0" w:space="0" w:color="auto"/>
                <w:bottom w:val="none" w:sz="0" w:space="0" w:color="auto"/>
                <w:right w:val="none" w:sz="0" w:space="0" w:color="auto"/>
              </w:divBdr>
              <w:divsChild>
                <w:div w:id="745880902">
                  <w:marLeft w:val="0"/>
                  <w:marRight w:val="0"/>
                  <w:marTop w:val="0"/>
                  <w:marBottom w:val="0"/>
                  <w:divBdr>
                    <w:top w:val="none" w:sz="0" w:space="0" w:color="auto"/>
                    <w:left w:val="none" w:sz="0" w:space="0" w:color="auto"/>
                    <w:bottom w:val="none" w:sz="0" w:space="0" w:color="auto"/>
                    <w:right w:val="none" w:sz="0" w:space="0" w:color="auto"/>
                  </w:divBdr>
                  <w:divsChild>
                    <w:div w:id="19356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50984">
              <w:marLeft w:val="0"/>
              <w:marRight w:val="0"/>
              <w:marTop w:val="0"/>
              <w:marBottom w:val="0"/>
              <w:divBdr>
                <w:top w:val="none" w:sz="0" w:space="0" w:color="auto"/>
                <w:left w:val="none" w:sz="0" w:space="0" w:color="auto"/>
                <w:bottom w:val="none" w:sz="0" w:space="0" w:color="auto"/>
                <w:right w:val="none" w:sz="0" w:space="0" w:color="auto"/>
              </w:divBdr>
            </w:div>
          </w:divsChild>
        </w:div>
        <w:div w:id="1597983850">
          <w:marLeft w:val="0"/>
          <w:marRight w:val="0"/>
          <w:marTop w:val="0"/>
          <w:marBottom w:val="0"/>
          <w:divBdr>
            <w:top w:val="none" w:sz="0" w:space="0" w:color="auto"/>
            <w:left w:val="none" w:sz="0" w:space="0" w:color="auto"/>
            <w:bottom w:val="none" w:sz="0" w:space="0" w:color="auto"/>
            <w:right w:val="none" w:sz="0" w:space="0" w:color="auto"/>
          </w:divBdr>
          <w:divsChild>
            <w:div w:id="1498692743">
              <w:marLeft w:val="0"/>
              <w:marRight w:val="0"/>
              <w:marTop w:val="0"/>
              <w:marBottom w:val="0"/>
              <w:divBdr>
                <w:top w:val="none" w:sz="0" w:space="0" w:color="auto"/>
                <w:left w:val="none" w:sz="0" w:space="0" w:color="auto"/>
                <w:bottom w:val="none" w:sz="0" w:space="0" w:color="auto"/>
                <w:right w:val="none" w:sz="0" w:space="0" w:color="auto"/>
              </w:divBdr>
            </w:div>
            <w:div w:id="982780415">
              <w:marLeft w:val="0"/>
              <w:marRight w:val="0"/>
              <w:marTop w:val="0"/>
              <w:marBottom w:val="0"/>
              <w:divBdr>
                <w:top w:val="none" w:sz="0" w:space="0" w:color="auto"/>
                <w:left w:val="none" w:sz="0" w:space="0" w:color="auto"/>
                <w:bottom w:val="none" w:sz="0" w:space="0" w:color="auto"/>
                <w:right w:val="none" w:sz="0" w:space="0" w:color="auto"/>
              </w:divBdr>
              <w:divsChild>
                <w:div w:id="1729068379">
                  <w:marLeft w:val="0"/>
                  <w:marRight w:val="0"/>
                  <w:marTop w:val="0"/>
                  <w:marBottom w:val="0"/>
                  <w:divBdr>
                    <w:top w:val="none" w:sz="0" w:space="0" w:color="auto"/>
                    <w:left w:val="none" w:sz="0" w:space="0" w:color="auto"/>
                    <w:bottom w:val="none" w:sz="0" w:space="0" w:color="auto"/>
                    <w:right w:val="none" w:sz="0" w:space="0" w:color="auto"/>
                  </w:divBdr>
                  <w:divsChild>
                    <w:div w:id="71581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51740">
              <w:marLeft w:val="0"/>
              <w:marRight w:val="0"/>
              <w:marTop w:val="0"/>
              <w:marBottom w:val="0"/>
              <w:divBdr>
                <w:top w:val="none" w:sz="0" w:space="0" w:color="auto"/>
                <w:left w:val="none" w:sz="0" w:space="0" w:color="auto"/>
                <w:bottom w:val="none" w:sz="0" w:space="0" w:color="auto"/>
                <w:right w:val="none" w:sz="0" w:space="0" w:color="auto"/>
              </w:divBdr>
            </w:div>
          </w:divsChild>
        </w:div>
        <w:div w:id="608007548">
          <w:marLeft w:val="0"/>
          <w:marRight w:val="0"/>
          <w:marTop w:val="0"/>
          <w:marBottom w:val="0"/>
          <w:divBdr>
            <w:top w:val="none" w:sz="0" w:space="0" w:color="auto"/>
            <w:left w:val="none" w:sz="0" w:space="0" w:color="auto"/>
            <w:bottom w:val="none" w:sz="0" w:space="0" w:color="auto"/>
            <w:right w:val="none" w:sz="0" w:space="0" w:color="auto"/>
          </w:divBdr>
          <w:divsChild>
            <w:div w:id="447630353">
              <w:marLeft w:val="0"/>
              <w:marRight w:val="0"/>
              <w:marTop w:val="0"/>
              <w:marBottom w:val="0"/>
              <w:divBdr>
                <w:top w:val="none" w:sz="0" w:space="0" w:color="auto"/>
                <w:left w:val="none" w:sz="0" w:space="0" w:color="auto"/>
                <w:bottom w:val="none" w:sz="0" w:space="0" w:color="auto"/>
                <w:right w:val="none" w:sz="0" w:space="0" w:color="auto"/>
              </w:divBdr>
            </w:div>
            <w:div w:id="1848981627">
              <w:marLeft w:val="0"/>
              <w:marRight w:val="0"/>
              <w:marTop w:val="0"/>
              <w:marBottom w:val="0"/>
              <w:divBdr>
                <w:top w:val="none" w:sz="0" w:space="0" w:color="auto"/>
                <w:left w:val="none" w:sz="0" w:space="0" w:color="auto"/>
                <w:bottom w:val="none" w:sz="0" w:space="0" w:color="auto"/>
                <w:right w:val="none" w:sz="0" w:space="0" w:color="auto"/>
              </w:divBdr>
              <w:divsChild>
                <w:div w:id="1851793313">
                  <w:marLeft w:val="0"/>
                  <w:marRight w:val="0"/>
                  <w:marTop w:val="0"/>
                  <w:marBottom w:val="0"/>
                  <w:divBdr>
                    <w:top w:val="none" w:sz="0" w:space="0" w:color="auto"/>
                    <w:left w:val="none" w:sz="0" w:space="0" w:color="auto"/>
                    <w:bottom w:val="none" w:sz="0" w:space="0" w:color="auto"/>
                    <w:right w:val="none" w:sz="0" w:space="0" w:color="auto"/>
                  </w:divBdr>
                  <w:divsChild>
                    <w:div w:id="13957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25991">
      <w:bodyDiv w:val="1"/>
      <w:marLeft w:val="0"/>
      <w:marRight w:val="0"/>
      <w:marTop w:val="0"/>
      <w:marBottom w:val="0"/>
      <w:divBdr>
        <w:top w:val="none" w:sz="0" w:space="0" w:color="auto"/>
        <w:left w:val="none" w:sz="0" w:space="0" w:color="auto"/>
        <w:bottom w:val="none" w:sz="0" w:space="0" w:color="auto"/>
        <w:right w:val="none" w:sz="0" w:space="0" w:color="auto"/>
      </w:divBdr>
    </w:div>
    <w:div w:id="1078134100">
      <w:bodyDiv w:val="1"/>
      <w:marLeft w:val="0"/>
      <w:marRight w:val="0"/>
      <w:marTop w:val="0"/>
      <w:marBottom w:val="0"/>
      <w:divBdr>
        <w:top w:val="none" w:sz="0" w:space="0" w:color="auto"/>
        <w:left w:val="none" w:sz="0" w:space="0" w:color="auto"/>
        <w:bottom w:val="none" w:sz="0" w:space="0" w:color="auto"/>
        <w:right w:val="none" w:sz="0" w:space="0" w:color="auto"/>
      </w:divBdr>
      <w:divsChild>
        <w:div w:id="1399748025">
          <w:marLeft w:val="0"/>
          <w:marRight w:val="0"/>
          <w:marTop w:val="0"/>
          <w:marBottom w:val="0"/>
          <w:divBdr>
            <w:top w:val="none" w:sz="0" w:space="0" w:color="auto"/>
            <w:left w:val="none" w:sz="0" w:space="0" w:color="auto"/>
            <w:bottom w:val="none" w:sz="0" w:space="0" w:color="auto"/>
            <w:right w:val="none" w:sz="0" w:space="0" w:color="auto"/>
          </w:divBdr>
          <w:divsChild>
            <w:div w:id="1281454827">
              <w:marLeft w:val="0"/>
              <w:marRight w:val="0"/>
              <w:marTop w:val="0"/>
              <w:marBottom w:val="0"/>
              <w:divBdr>
                <w:top w:val="none" w:sz="0" w:space="0" w:color="auto"/>
                <w:left w:val="none" w:sz="0" w:space="0" w:color="auto"/>
                <w:bottom w:val="none" w:sz="0" w:space="0" w:color="auto"/>
                <w:right w:val="none" w:sz="0" w:space="0" w:color="auto"/>
              </w:divBdr>
              <w:divsChild>
                <w:div w:id="2098359055">
                  <w:marLeft w:val="0"/>
                  <w:marRight w:val="0"/>
                  <w:marTop w:val="0"/>
                  <w:marBottom w:val="0"/>
                  <w:divBdr>
                    <w:top w:val="none" w:sz="0" w:space="0" w:color="auto"/>
                    <w:left w:val="none" w:sz="0" w:space="0" w:color="auto"/>
                    <w:bottom w:val="none" w:sz="0" w:space="0" w:color="auto"/>
                    <w:right w:val="none" w:sz="0" w:space="0" w:color="auto"/>
                  </w:divBdr>
                  <w:divsChild>
                    <w:div w:id="2059086814">
                      <w:marLeft w:val="0"/>
                      <w:marRight w:val="0"/>
                      <w:marTop w:val="0"/>
                      <w:marBottom w:val="0"/>
                      <w:divBdr>
                        <w:top w:val="none" w:sz="0" w:space="0" w:color="auto"/>
                        <w:left w:val="none" w:sz="0" w:space="0" w:color="auto"/>
                        <w:bottom w:val="none" w:sz="0" w:space="0" w:color="auto"/>
                        <w:right w:val="none" w:sz="0" w:space="0" w:color="auto"/>
                      </w:divBdr>
                      <w:divsChild>
                        <w:div w:id="556626541">
                          <w:marLeft w:val="0"/>
                          <w:marRight w:val="0"/>
                          <w:marTop w:val="0"/>
                          <w:marBottom w:val="0"/>
                          <w:divBdr>
                            <w:top w:val="none" w:sz="0" w:space="0" w:color="auto"/>
                            <w:left w:val="none" w:sz="0" w:space="0" w:color="auto"/>
                            <w:bottom w:val="none" w:sz="0" w:space="0" w:color="auto"/>
                            <w:right w:val="none" w:sz="0" w:space="0" w:color="auto"/>
                          </w:divBdr>
                          <w:divsChild>
                            <w:div w:id="1170952486">
                              <w:marLeft w:val="0"/>
                              <w:marRight w:val="0"/>
                              <w:marTop w:val="0"/>
                              <w:marBottom w:val="0"/>
                              <w:divBdr>
                                <w:top w:val="none" w:sz="0" w:space="0" w:color="auto"/>
                                <w:left w:val="none" w:sz="0" w:space="0" w:color="auto"/>
                                <w:bottom w:val="none" w:sz="0" w:space="0" w:color="auto"/>
                                <w:right w:val="none" w:sz="0" w:space="0" w:color="auto"/>
                              </w:divBdr>
                            </w:div>
                            <w:div w:id="108277719">
                              <w:marLeft w:val="0"/>
                              <w:marRight w:val="0"/>
                              <w:marTop w:val="0"/>
                              <w:marBottom w:val="0"/>
                              <w:divBdr>
                                <w:top w:val="none" w:sz="0" w:space="0" w:color="auto"/>
                                <w:left w:val="none" w:sz="0" w:space="0" w:color="auto"/>
                                <w:bottom w:val="none" w:sz="0" w:space="0" w:color="auto"/>
                                <w:right w:val="none" w:sz="0" w:space="0" w:color="auto"/>
                              </w:divBdr>
                              <w:divsChild>
                                <w:div w:id="282426493">
                                  <w:marLeft w:val="0"/>
                                  <w:marRight w:val="0"/>
                                  <w:marTop w:val="0"/>
                                  <w:marBottom w:val="0"/>
                                  <w:divBdr>
                                    <w:top w:val="none" w:sz="0" w:space="0" w:color="auto"/>
                                    <w:left w:val="none" w:sz="0" w:space="0" w:color="auto"/>
                                    <w:bottom w:val="none" w:sz="0" w:space="0" w:color="auto"/>
                                    <w:right w:val="none" w:sz="0" w:space="0" w:color="auto"/>
                                  </w:divBdr>
                                  <w:divsChild>
                                    <w:div w:id="111005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59780">
          <w:marLeft w:val="0"/>
          <w:marRight w:val="0"/>
          <w:marTop w:val="0"/>
          <w:marBottom w:val="0"/>
          <w:divBdr>
            <w:top w:val="none" w:sz="0" w:space="0" w:color="auto"/>
            <w:left w:val="none" w:sz="0" w:space="0" w:color="auto"/>
            <w:bottom w:val="none" w:sz="0" w:space="0" w:color="auto"/>
            <w:right w:val="none" w:sz="0" w:space="0" w:color="auto"/>
          </w:divBdr>
          <w:divsChild>
            <w:div w:id="1907718906">
              <w:marLeft w:val="0"/>
              <w:marRight w:val="0"/>
              <w:marTop w:val="0"/>
              <w:marBottom w:val="0"/>
              <w:divBdr>
                <w:top w:val="none" w:sz="0" w:space="0" w:color="auto"/>
                <w:left w:val="none" w:sz="0" w:space="0" w:color="auto"/>
                <w:bottom w:val="none" w:sz="0" w:space="0" w:color="auto"/>
                <w:right w:val="none" w:sz="0" w:space="0" w:color="auto"/>
              </w:divBdr>
              <w:divsChild>
                <w:div w:id="2038966054">
                  <w:marLeft w:val="0"/>
                  <w:marRight w:val="0"/>
                  <w:marTop w:val="0"/>
                  <w:marBottom w:val="0"/>
                  <w:divBdr>
                    <w:top w:val="none" w:sz="0" w:space="0" w:color="auto"/>
                    <w:left w:val="none" w:sz="0" w:space="0" w:color="auto"/>
                    <w:bottom w:val="none" w:sz="0" w:space="0" w:color="auto"/>
                    <w:right w:val="none" w:sz="0" w:space="0" w:color="auto"/>
                  </w:divBdr>
                  <w:divsChild>
                    <w:div w:id="15072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A6E21-DB3A-402F-9D5C-BAA76EC7C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1053</Words>
  <Characters>6005</Characters>
  <Application>Microsoft Office Word</Application>
  <DocSecurity>0</DocSecurity>
  <Lines>50</Lines>
  <Paragraphs>14</Paragraphs>
  <ScaleCrop>false</ScaleCrop>
  <Company/>
  <LinksUpToDate>false</LinksUpToDate>
  <CharactersWithSpaces>7044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2024-09-10T03:17:00Z</dcterms:created>
  <dcterms:modified xsi:type="dcterms:W3CDTF">2024-10-08T11:25:00Z</dcterms:modified>
</cp:coreProperties>
</file>