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6AB2AC1A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44065" w:rsidRPr="00570B6E">
        <w:rPr>
          <w:rFonts w:ascii="Times New Roman" w:hAnsi="Times New Roman"/>
          <w:sz w:val="28"/>
          <w:szCs w:val="28"/>
        </w:rPr>
        <w:t xml:space="preserve"> по большому биохимическому практикуму:</w:t>
      </w:r>
    </w:p>
    <w:p w14:paraId="19F743C5" w14:textId="5A9E95A4" w:rsidR="00744065" w:rsidRDefault="00136300" w:rsidP="00744065">
      <w:pPr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уровня </w:t>
      </w:r>
      <w:proofErr w:type="spellStart"/>
      <w:r>
        <w:rPr>
          <w:rFonts w:ascii="Times New Roman" w:hAnsi="Times New Roman"/>
          <w:sz w:val="28"/>
          <w:szCs w:val="28"/>
        </w:rPr>
        <w:t>гетероплазмии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митохондриальной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ДНК человека по результатам высокопроизводительного </w:t>
      </w:r>
      <w:proofErr w:type="spellStart"/>
      <w:r>
        <w:rPr>
          <w:rFonts w:ascii="Times New Roman" w:hAnsi="Times New Roman"/>
          <w:sz w:val="28"/>
          <w:szCs w:val="28"/>
        </w:rPr>
        <w:t>секвенирования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6E1C0DA4" w14:textId="77777777" w:rsid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bookmarkStart w:id="0" w:name="_Toc134463284"/>
      <w:bookmarkStart w:id="1" w:name="_Toc134463387"/>
      <w:bookmarkStart w:id="2" w:name="_Toc134463466"/>
      <w:bookmarkStart w:id="3" w:name="_Toc134463961"/>
      <w:bookmarkStart w:id="4" w:name="_Toc148023116"/>
      <w:bookmarkStart w:id="5" w:name="_Toc148023229"/>
      <w:bookmarkStart w:id="6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  <w:sz w:val="28"/>
          <w:szCs w:val="28"/>
        </w:rPr>
        <w:t xml:space="preserve"> студентка 4 курса гр.14411</w:t>
      </w:r>
    </w:p>
    <w:p w14:paraId="4544370D" w14:textId="77777777" w:rsidR="00744065" w:rsidRPr="002232C1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311D330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5958EC4C" w14:textId="77777777" w:rsidR="00921E28" w:rsidRDefault="00744065" w:rsidP="00921E28">
      <w:pPr>
        <w:jc w:val="center"/>
      </w:pPr>
      <w:r>
        <w:t>Содержание</w:t>
      </w:r>
    </w:p>
    <w:p w14:paraId="28945966" w14:textId="6F7E3F8D" w:rsidR="00744065" w:rsidRPr="00921E28" w:rsidRDefault="00744065" w:rsidP="00921E28">
      <w:r w:rsidRPr="00DF7A90">
        <w:rPr>
          <w:b/>
          <w:sz w:val="28"/>
          <w:szCs w:val="28"/>
        </w:rPr>
        <w:lastRenderedPageBreak/>
        <w:t>Введение</w:t>
      </w:r>
    </w:p>
    <w:p w14:paraId="4015671C" w14:textId="10218699" w:rsidR="00DF7A90" w:rsidRPr="005D35F0" w:rsidRDefault="00DF7A90" w:rsidP="005D35F0">
      <w:pPr>
        <w:jc w:val="both"/>
      </w:pPr>
    </w:p>
    <w:p w14:paraId="1525DB6A" w14:textId="343B7D3B" w:rsidR="00456912" w:rsidRDefault="000D5135" w:rsidP="00456912">
      <w:pPr>
        <w:jc w:val="both"/>
      </w:pPr>
      <w:proofErr w:type="spellStart"/>
      <w:r w:rsidRPr="000D5135">
        <w:t>Гетероплазмия</w:t>
      </w:r>
      <w:proofErr w:type="spellEnd"/>
      <w:r w:rsidRPr="000D5135">
        <w:t xml:space="preserve"> –</w:t>
      </w:r>
      <w:r w:rsidR="00964535">
        <w:t xml:space="preserve"> </w:t>
      </w:r>
      <w:r w:rsidRPr="000D5135">
        <w:t xml:space="preserve"> </w:t>
      </w:r>
      <w:r w:rsidR="00964535" w:rsidRPr="00964535">
        <w:t xml:space="preserve">феномен </w:t>
      </w:r>
      <w:r w:rsidRPr="000D5135">
        <w:t xml:space="preserve">сосуществование в </w:t>
      </w:r>
      <w:r>
        <w:t xml:space="preserve">клетке двух или более вариантов </w:t>
      </w:r>
      <w:proofErr w:type="spellStart"/>
      <w:r>
        <w:t>митохондриального</w:t>
      </w:r>
      <w:proofErr w:type="spellEnd"/>
      <w:r>
        <w:t xml:space="preserve"> </w:t>
      </w:r>
      <w:proofErr w:type="spellStart"/>
      <w:r>
        <w:t>гаплотипа</w:t>
      </w:r>
      <w:proofErr w:type="spellEnd"/>
      <w:r w:rsidR="009E3778">
        <w:t xml:space="preserve"> (</w:t>
      </w:r>
      <w:proofErr w:type="spellStart"/>
      <w:r w:rsidR="009E3778" w:rsidRPr="009E3778">
        <w:t>Taylor</w:t>
      </w:r>
      <w:proofErr w:type="spellEnd"/>
      <w:r w:rsidR="009E3778" w:rsidRPr="009E3778">
        <w:t xml:space="preserve">, </w:t>
      </w:r>
      <w:proofErr w:type="spellStart"/>
      <w:r w:rsidR="009E3778" w:rsidRPr="009E3778">
        <w:t>Turnbull</w:t>
      </w:r>
      <w:proofErr w:type="spellEnd"/>
      <w:r w:rsidR="009E3778" w:rsidRPr="009E3778">
        <w:t>, 2005</w:t>
      </w:r>
      <w:r w:rsidR="009E3778">
        <w:t>)</w:t>
      </w:r>
      <w:r>
        <w:t>.</w:t>
      </w:r>
      <w:r w:rsidR="009E3778">
        <w:t xml:space="preserve"> В результате высокой скорости </w:t>
      </w:r>
      <w:proofErr w:type="spellStart"/>
      <w:r w:rsidR="009E3778">
        <w:t>мутирования</w:t>
      </w:r>
      <w:proofErr w:type="spellEnd"/>
      <w:r w:rsidR="009E3778">
        <w:t xml:space="preserve"> и многократной репликации </w:t>
      </w:r>
      <w:proofErr w:type="spellStart"/>
      <w:r w:rsidR="009E3778">
        <w:t>мтДНК</w:t>
      </w:r>
      <w:proofErr w:type="spellEnd"/>
      <w:r w:rsidR="009E3778">
        <w:t xml:space="preserve">, новые мутации закрепляются в геноме, что ведет к возникновению </w:t>
      </w:r>
      <w:proofErr w:type="spellStart"/>
      <w:r w:rsidR="009E3778">
        <w:t>гетероплаз</w:t>
      </w:r>
      <w:r w:rsidR="00391E57">
        <w:t>м</w:t>
      </w:r>
      <w:r w:rsidR="009E3778">
        <w:t>ии</w:t>
      </w:r>
      <w:proofErr w:type="spellEnd"/>
      <w:r w:rsidR="00964535">
        <w:t>.</w:t>
      </w:r>
      <w:r w:rsidR="00447CD1">
        <w:t xml:space="preserve"> </w:t>
      </w:r>
      <w:r w:rsidR="00447CD1" w:rsidRPr="00447CD1">
        <w:t xml:space="preserve">Уровень </w:t>
      </w:r>
      <w:proofErr w:type="spellStart"/>
      <w:r w:rsidR="00447CD1" w:rsidRPr="00447CD1">
        <w:t>гетероплазмии</w:t>
      </w:r>
      <w:proofErr w:type="spellEnd"/>
      <w:r w:rsidR="00447CD1" w:rsidRPr="00447CD1">
        <w:t xml:space="preserve"> </w:t>
      </w:r>
      <w:r w:rsidR="00447CD1">
        <w:t>(отношение количества мутантных молекул ДНК к их общем количеству)</w:t>
      </w:r>
      <w:r w:rsidR="00447CD1" w:rsidRPr="00447CD1">
        <w:t xml:space="preserve"> патогенных генеративных мутаций </w:t>
      </w:r>
      <w:proofErr w:type="spellStart"/>
      <w:r w:rsidR="00447CD1" w:rsidRPr="00447CD1">
        <w:t>мтДНК</w:t>
      </w:r>
      <w:proofErr w:type="spellEnd"/>
      <w:r w:rsidR="00447CD1" w:rsidRPr="00447CD1">
        <w:t xml:space="preserve"> влияет на экспрессивность и пенетрантность </w:t>
      </w:r>
      <w:proofErr w:type="spellStart"/>
      <w:r w:rsidR="00447CD1" w:rsidRPr="00447CD1">
        <w:t>митохондриальных</w:t>
      </w:r>
      <w:proofErr w:type="spellEnd"/>
      <w:r w:rsidR="00447CD1" w:rsidRPr="00447CD1">
        <w:t xml:space="preserve"> заболеваний.</w:t>
      </w:r>
      <w:r w:rsidR="00391E57">
        <w:t xml:space="preserve"> Различные ткани и органы зависят от </w:t>
      </w:r>
      <w:proofErr w:type="spellStart"/>
      <w:r w:rsidR="00391E57">
        <w:t>митохондриальнои</w:t>
      </w:r>
      <w:proofErr w:type="spellEnd"/>
      <w:r w:rsidR="00391E57">
        <w:t xml:space="preserve">̆ активности в </w:t>
      </w:r>
      <w:proofErr w:type="spellStart"/>
      <w:r w:rsidR="00391E57">
        <w:t>разнои</w:t>
      </w:r>
      <w:proofErr w:type="spellEnd"/>
      <w:r w:rsidR="00391E57">
        <w:t>̆ степени, следовательно, будут обладать различным</w:t>
      </w:r>
      <w:r w:rsidR="001E4850">
        <w:t xml:space="preserve"> пороговым значением</w:t>
      </w:r>
      <w:r w:rsidR="00391E57" w:rsidRPr="00D31FB0">
        <w:t xml:space="preserve"> </w:t>
      </w:r>
      <w:proofErr w:type="spellStart"/>
      <w:r w:rsidR="00391E57" w:rsidRPr="00D31FB0">
        <w:t>гетероплазмии</w:t>
      </w:r>
      <w:proofErr w:type="spellEnd"/>
      <w:r w:rsidR="00391E57" w:rsidRPr="00D31FB0">
        <w:t xml:space="preserve"> </w:t>
      </w:r>
      <w:proofErr w:type="spellStart"/>
      <w:r w:rsidR="00391E57" w:rsidRPr="00D31FB0">
        <w:t>митохондриальной</w:t>
      </w:r>
      <w:proofErr w:type="spellEnd"/>
      <w:r w:rsidR="00391E57" w:rsidRPr="00D31FB0">
        <w:t xml:space="preserve"> ДНК для</w:t>
      </w:r>
      <w:r w:rsidR="00391E57">
        <w:t xml:space="preserve"> </w:t>
      </w:r>
      <w:r w:rsidR="001E4850">
        <w:t>нарушения энергетического обмена</w:t>
      </w:r>
      <w:r w:rsidR="00391E57">
        <w:t xml:space="preserve"> и дисфункции определенного органа или ткани.</w:t>
      </w:r>
      <w:r w:rsidR="00624864">
        <w:t xml:space="preserve"> </w:t>
      </w:r>
      <w:r w:rsidR="005D35F0">
        <w:t xml:space="preserve">Встречаемость </w:t>
      </w:r>
      <w:proofErr w:type="spellStart"/>
      <w:r w:rsidR="005D35F0">
        <w:t>гетероплазмии</w:t>
      </w:r>
      <w:proofErr w:type="spellEnd"/>
      <w:r w:rsidR="005D35F0">
        <w:t xml:space="preserve"> на уровне 1-3%</w:t>
      </w:r>
      <w:r w:rsidR="00AF3C35">
        <w:t xml:space="preserve">, </w:t>
      </w:r>
      <w:r w:rsidR="005D35F0">
        <w:t>по позициям, связанным с развитием заболеваний, разными авторами оценивается в</w:t>
      </w:r>
      <w:r w:rsidR="00AF3C35" w:rsidRPr="005D35F0">
        <w:t xml:space="preserve"> 2,5% (</w:t>
      </w:r>
      <w:proofErr w:type="spellStart"/>
      <w:r w:rsidR="00AF3C35" w:rsidRPr="005D35F0">
        <w:t>Li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2010) или 20%(</w:t>
      </w:r>
      <w:proofErr w:type="spellStart"/>
      <w:r w:rsidR="00AF3C35" w:rsidRPr="005D35F0">
        <w:t>Ye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2014)</w:t>
      </w:r>
      <w:r w:rsidR="005D35F0">
        <w:t xml:space="preserve"> от</w:t>
      </w:r>
      <w:r w:rsidR="00AF3C35" w:rsidRPr="005D35F0">
        <w:t xml:space="preserve"> популяции здоровых людей.</w:t>
      </w:r>
      <w:r w:rsidR="005D35F0">
        <w:t xml:space="preserve"> </w:t>
      </w:r>
      <w:r w:rsidR="00624864">
        <w:t xml:space="preserve">Ранее </w:t>
      </w:r>
      <w:proofErr w:type="spellStart"/>
      <w:r w:rsidR="00624864">
        <w:t>гетероплазм</w:t>
      </w:r>
      <w:r w:rsidR="009763CE">
        <w:t>ия</w:t>
      </w:r>
      <w:proofErr w:type="spellEnd"/>
      <w:r w:rsidR="009763CE">
        <w:t xml:space="preserve"> </w:t>
      </w:r>
      <w:proofErr w:type="spellStart"/>
      <w:r w:rsidR="009763CE">
        <w:t>мтДНК</w:t>
      </w:r>
      <w:proofErr w:type="spellEnd"/>
      <w:r w:rsidR="009763CE">
        <w:t xml:space="preserve"> рассматривалась только в п</w:t>
      </w:r>
      <w:r w:rsidR="00014D90">
        <w:t xml:space="preserve">ределах </w:t>
      </w:r>
      <w:proofErr w:type="spellStart"/>
      <w:r w:rsidR="00014D90">
        <w:t>гипервариабельного</w:t>
      </w:r>
      <w:proofErr w:type="spellEnd"/>
      <w:r w:rsidR="00014D90">
        <w:t xml:space="preserve"> сегме</w:t>
      </w:r>
      <w:r w:rsidR="009763CE">
        <w:t xml:space="preserve">нта контрольного региона. </w:t>
      </w:r>
      <w:r w:rsidR="002B34BA">
        <w:t>Сейчас т</w:t>
      </w:r>
      <w:r w:rsidR="009763CE">
        <w:t xml:space="preserve">ехнологии </w:t>
      </w:r>
      <w:proofErr w:type="spellStart"/>
      <w:r w:rsidR="009763CE">
        <w:t>секвенирования</w:t>
      </w:r>
      <w:proofErr w:type="spellEnd"/>
      <w:r w:rsidR="009763CE">
        <w:t xml:space="preserve"> нового поколения позволяют зафиксировать </w:t>
      </w:r>
      <w:proofErr w:type="spellStart"/>
      <w:r w:rsidR="009763CE">
        <w:t>гетероплазмию</w:t>
      </w:r>
      <w:proofErr w:type="spellEnd"/>
      <w:r w:rsidR="009763CE">
        <w:t xml:space="preserve"> на протяжении всей молекулы ДНК</w:t>
      </w:r>
      <w:r w:rsidR="00014D90">
        <w:t xml:space="preserve"> с высокой точностью</w:t>
      </w:r>
      <w:r w:rsidR="009763CE">
        <w:t xml:space="preserve"> </w:t>
      </w:r>
      <w:r w:rsidR="002B34BA">
        <w:t>за сче</w:t>
      </w:r>
      <w:r w:rsidR="00014D90">
        <w:t>т большого количества прочтений.</w:t>
      </w:r>
    </w:p>
    <w:p w14:paraId="143EB779" w14:textId="68AF2D3C" w:rsidR="00744065" w:rsidRDefault="00744065" w:rsidP="00456912">
      <w:pPr>
        <w:ind w:firstLine="708"/>
        <w:jc w:val="both"/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>м зрения</w:t>
      </w:r>
      <w:r w:rsidR="00456912">
        <w:t xml:space="preserve">, вследствие дегенерации </w:t>
      </w:r>
      <w:proofErr w:type="spellStart"/>
      <w:r w:rsidR="00456912">
        <w:t>ганглионарных</w:t>
      </w:r>
      <w:proofErr w:type="spellEnd"/>
      <w:r w:rsidR="00456912">
        <w:t xml:space="preserve"> нейронов сетчатки</w:t>
      </w:r>
      <w:r>
        <w:t xml:space="preserve">. Причина возникновения LHON - мутации в </w:t>
      </w:r>
      <w:proofErr w:type="spellStart"/>
      <w:r>
        <w:t>митохондриальном</w:t>
      </w:r>
      <w:proofErr w:type="spellEnd"/>
      <w:r>
        <w:t xml:space="preserve"> геноме, одна из которых приводит к замене аминокислот в участке </w:t>
      </w:r>
      <w:proofErr w:type="spellStart"/>
      <w:r>
        <w:t>кодирующием</w:t>
      </w:r>
      <w:proofErr w:type="spellEnd"/>
      <w:r>
        <w:t xml:space="preserve"> одну из </w:t>
      </w:r>
      <w:proofErr w:type="spellStart"/>
      <w:r>
        <w:t>субьединиц</w:t>
      </w:r>
      <w:proofErr w:type="spellEnd"/>
      <w:r>
        <w:t xml:space="preserve"> NADH - </w:t>
      </w:r>
      <w:proofErr w:type="spellStart"/>
      <w:r>
        <w:t>убихинон</w:t>
      </w:r>
      <w:proofErr w:type="spellEnd"/>
      <w:r>
        <w:t xml:space="preserve"> (первый комплекс электрон транспортной цепи)</w:t>
      </w:r>
      <w:r w:rsidR="008D7124">
        <w:t xml:space="preserve"> (</w:t>
      </w:r>
      <w:proofErr w:type="spellStart"/>
      <w:r w:rsidR="008D7124" w:rsidRPr="008D7124">
        <w:t>Kirches</w:t>
      </w:r>
      <w:proofErr w:type="spellEnd"/>
      <w:r w:rsidR="008D7124" w:rsidRPr="008D7124">
        <w:t xml:space="preserve"> E</w:t>
      </w:r>
      <w:r>
        <w:t>.</w:t>
      </w:r>
      <w:r w:rsidR="008D7124">
        <w:t>, 2011</w:t>
      </w:r>
      <w:r w:rsidR="00456912">
        <w:t xml:space="preserve">). </w:t>
      </w:r>
      <w:r w:rsidR="00681FFB">
        <w:t>Анализ уровня</w:t>
      </w:r>
      <w:r w:rsidR="00D31FB0">
        <w:t xml:space="preserve"> </w:t>
      </w:r>
      <w:proofErr w:type="spellStart"/>
      <w:r w:rsidR="00D31FB0">
        <w:t>гетероплазмии</w:t>
      </w:r>
      <w:proofErr w:type="spellEnd"/>
      <w:r w:rsidR="00D31FB0">
        <w:t xml:space="preserve"> в зрительном нерве</w:t>
      </w:r>
      <w:r w:rsidR="00681FFB">
        <w:t xml:space="preserve"> относительно других тканей одного организма может доказать </w:t>
      </w:r>
      <w:proofErr w:type="spellStart"/>
      <w:r w:rsidR="00681FFB">
        <w:t>тканеспецифичность</w:t>
      </w:r>
      <w:proofErr w:type="spellEnd"/>
      <w:r w:rsidR="00681FFB">
        <w:t xml:space="preserve"> отдельных мутаций.</w:t>
      </w:r>
    </w:p>
    <w:p w14:paraId="4EC94970" w14:textId="67478A07" w:rsidR="00456912" w:rsidRDefault="00014D90" w:rsidP="00E21E2F">
      <w:pPr>
        <w:jc w:val="both"/>
      </w:pPr>
      <w:r>
        <w:t>Цель данной</w:t>
      </w:r>
      <w:r w:rsidR="00397EE2">
        <w:t xml:space="preserve"> работы –</w:t>
      </w:r>
      <w:r w:rsidR="00E21E2F">
        <w:t xml:space="preserve"> в</w:t>
      </w:r>
      <w:r w:rsidR="00456912">
        <w:t xml:space="preserve">ыявление </w:t>
      </w:r>
      <w:proofErr w:type="spellStart"/>
      <w:r w:rsidR="00456912">
        <w:t>тканеспецифичных</w:t>
      </w:r>
      <w:proofErr w:type="spellEnd"/>
      <w:r w:rsidR="00456912">
        <w:t xml:space="preserve"> мутаций</w:t>
      </w:r>
      <w:r w:rsidR="00E21E2F">
        <w:t xml:space="preserve"> </w:t>
      </w:r>
      <w:r w:rsidR="00456912">
        <w:t xml:space="preserve">и определение уровня </w:t>
      </w:r>
      <w:proofErr w:type="spellStart"/>
      <w:r w:rsidR="00456912">
        <w:t>гетероплзамии</w:t>
      </w:r>
      <w:proofErr w:type="spellEnd"/>
      <w:r w:rsidR="00456912">
        <w:t xml:space="preserve"> в </w:t>
      </w:r>
      <w:proofErr w:type="spellStart"/>
      <w:r w:rsidR="00456912">
        <w:t>мтДНК</w:t>
      </w:r>
      <w:proofErr w:type="spellEnd"/>
      <w:r w:rsidR="00456912">
        <w:t xml:space="preserve"> людей, страдающих </w:t>
      </w:r>
      <w:r w:rsidR="00E21E2F">
        <w:t xml:space="preserve">наследственной оптической </w:t>
      </w:r>
      <w:proofErr w:type="spellStart"/>
      <w:r w:rsidR="00E21E2F">
        <w:t>нейропатией</w:t>
      </w:r>
      <w:proofErr w:type="spellEnd"/>
      <w:r w:rsidR="00E21E2F">
        <w:t xml:space="preserve"> зрительного нерва </w:t>
      </w:r>
      <w:proofErr w:type="spellStart"/>
      <w:r w:rsidR="00E21E2F">
        <w:t>Лебера</w:t>
      </w:r>
      <w:proofErr w:type="spellEnd"/>
      <w:r w:rsidR="00E21E2F">
        <w:t xml:space="preserve">, на основе данные высокопроизводительного </w:t>
      </w:r>
      <w:proofErr w:type="spellStart"/>
      <w:r w:rsidR="00E21E2F">
        <w:t>секвенирования</w:t>
      </w:r>
      <w:proofErr w:type="spellEnd"/>
      <w:r w:rsidR="00E21E2F">
        <w:t xml:space="preserve"> </w:t>
      </w:r>
    </w:p>
    <w:p w14:paraId="2D83440E" w14:textId="77777777" w:rsidR="001F0E4C" w:rsidRDefault="001F0E4C" w:rsidP="00744065">
      <w:proofErr w:type="spellStart"/>
      <w:r>
        <w:t>Задчи</w:t>
      </w:r>
      <w:proofErr w:type="spellEnd"/>
      <w:r w:rsidRPr="001F0E4C">
        <w:t>:</w:t>
      </w:r>
      <w:r>
        <w:t xml:space="preserve"> </w:t>
      </w:r>
    </w:p>
    <w:p w14:paraId="1FD68B81" w14:textId="7630D163" w:rsidR="001F0E4C" w:rsidRDefault="001F0E4C" w:rsidP="001F0E4C">
      <w:pPr>
        <w:pStyle w:val="a3"/>
        <w:numPr>
          <w:ilvl w:val="0"/>
          <w:numId w:val="19"/>
        </w:numPr>
      </w:pPr>
      <w:r>
        <w:t xml:space="preserve">Выделение ДНК из образцов крови </w:t>
      </w:r>
      <w:r w:rsidR="00E21E2F">
        <w:t xml:space="preserve">пациентов и контрольной группы </w:t>
      </w:r>
    </w:p>
    <w:p w14:paraId="04B2931B" w14:textId="77CE0FAC" w:rsidR="001F0E4C" w:rsidRDefault="00E21E2F" w:rsidP="001F0E4C">
      <w:pPr>
        <w:pStyle w:val="a3"/>
        <w:numPr>
          <w:ilvl w:val="0"/>
          <w:numId w:val="19"/>
        </w:numPr>
      </w:pPr>
      <w:r>
        <w:t>Проведение</w:t>
      </w:r>
      <w:r w:rsidR="001F0E4C">
        <w:t xml:space="preserve"> ПЦР для наработки </w:t>
      </w:r>
      <w:proofErr w:type="spellStart"/>
      <w:r w:rsidR="001F0E4C">
        <w:t>митохондриальной</w:t>
      </w:r>
      <w:proofErr w:type="spellEnd"/>
      <w:r w:rsidR="001F0E4C">
        <w:t xml:space="preserve"> ДНК</w:t>
      </w:r>
    </w:p>
    <w:p w14:paraId="373C442D" w14:textId="00CAEED4" w:rsidR="00E21E2F" w:rsidRDefault="00477C32" w:rsidP="001F0E4C">
      <w:pPr>
        <w:pStyle w:val="a3"/>
        <w:numPr>
          <w:ilvl w:val="0"/>
          <w:numId w:val="19"/>
        </w:numPr>
      </w:pPr>
      <w:r>
        <w:t>Оценить</w:t>
      </w:r>
      <w:r w:rsidR="00E21E2F">
        <w:t xml:space="preserve"> качества</w:t>
      </w:r>
      <w:r>
        <w:t xml:space="preserve"> коротких прочтений </w:t>
      </w:r>
      <w:r w:rsidR="00E21E2F">
        <w:t xml:space="preserve"> </w:t>
      </w:r>
    </w:p>
    <w:p w14:paraId="51C231F9" w14:textId="1CA38373" w:rsidR="001F0E4C" w:rsidRPr="001F0E4C" w:rsidRDefault="00E21E2F" w:rsidP="001F0E4C">
      <w:pPr>
        <w:pStyle w:val="a3"/>
        <w:numPr>
          <w:ilvl w:val="0"/>
          <w:numId w:val="19"/>
        </w:numPr>
      </w:pPr>
      <w:r>
        <w:t xml:space="preserve">Осуществление </w:t>
      </w:r>
      <w:proofErr w:type="spellStart"/>
      <w:r>
        <w:t>биоинформатического</w:t>
      </w:r>
      <w:proofErr w:type="spellEnd"/>
      <w:r w:rsidR="001F0E4C">
        <w:t xml:space="preserve"> анализ</w:t>
      </w:r>
      <w:r>
        <w:t xml:space="preserve">а </w:t>
      </w:r>
      <w:proofErr w:type="gramStart"/>
      <w:r>
        <w:t xml:space="preserve">для  </w:t>
      </w:r>
      <w:r w:rsidR="00447CD1">
        <w:t>определения</w:t>
      </w:r>
      <w:proofErr w:type="gramEnd"/>
      <w:r w:rsidR="00447CD1">
        <w:t xml:space="preserve"> </w:t>
      </w:r>
      <w:r>
        <w:t xml:space="preserve"> </w:t>
      </w:r>
      <w:proofErr w:type="spellStart"/>
      <w:r w:rsidR="001F0E4C">
        <w:t>тканеспецифичных</w:t>
      </w:r>
      <w:proofErr w:type="spellEnd"/>
      <w:r w:rsidR="001F0E4C">
        <w:t xml:space="preserve"> мутаций</w:t>
      </w:r>
      <w:r>
        <w:t xml:space="preserve"> </w:t>
      </w:r>
      <w:r w:rsidR="00447CD1">
        <w:t xml:space="preserve"> и уровня </w:t>
      </w:r>
      <w:proofErr w:type="spellStart"/>
      <w:r w:rsidR="00447CD1">
        <w:t>гетероплазмии</w:t>
      </w:r>
      <w:proofErr w:type="spellEnd"/>
    </w:p>
    <w:p w14:paraId="2203FC05" w14:textId="77777777" w:rsidR="00744065" w:rsidRDefault="00744065" w:rsidP="00744065"/>
    <w:p w14:paraId="0DE80823" w14:textId="77777777" w:rsidR="00744065" w:rsidRDefault="00744065" w:rsidP="00744065">
      <w:r>
        <w:tab/>
      </w:r>
    </w:p>
    <w:p w14:paraId="198CE2A9" w14:textId="2DA86CF4" w:rsidR="00744065" w:rsidRDefault="00F57876" w:rsidP="009260B3">
      <w:pPr>
        <w:jc w:val="center"/>
        <w:rPr>
          <w:b/>
        </w:rPr>
      </w:pPr>
      <w:r>
        <w:rPr>
          <w:b/>
        </w:rPr>
        <w:t>Материалы и м</w:t>
      </w:r>
      <w:r w:rsidR="009260B3" w:rsidRPr="009260B3">
        <w:rPr>
          <w:b/>
        </w:rPr>
        <w:t>етоды</w:t>
      </w:r>
    </w:p>
    <w:p w14:paraId="3168A1C3" w14:textId="048254CA" w:rsidR="008521E9" w:rsidRDefault="008521E9" w:rsidP="008521E9">
      <w:pPr>
        <w:rPr>
          <w:b/>
        </w:rPr>
      </w:pPr>
      <w:r>
        <w:rPr>
          <w:b/>
        </w:rPr>
        <w:t>Материалы</w:t>
      </w:r>
    </w:p>
    <w:p w14:paraId="4209B720" w14:textId="175A3B99" w:rsidR="00DC5779" w:rsidRDefault="00DC5779" w:rsidP="00F57876">
      <w:pPr>
        <w:rPr>
          <w:b/>
        </w:rPr>
      </w:pPr>
      <w:r>
        <w:t>Основой для исследования послужили</w:t>
      </w:r>
      <w:r w:rsidRPr="00DC5779">
        <w:t xml:space="preserve"> </w:t>
      </w:r>
      <w:r>
        <w:t xml:space="preserve">данные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мтДНК</w:t>
      </w:r>
      <w:proofErr w:type="spellEnd"/>
      <w:r>
        <w:t>, пациентов с LHON</w:t>
      </w:r>
      <w:r w:rsidR="00EE6AAC">
        <w:t xml:space="preserve"> (</w:t>
      </w:r>
      <w:r w:rsidR="00EE6AAC" w:rsidRPr="00F57876">
        <w:rPr>
          <w:highlight w:val="yellow"/>
        </w:rPr>
        <w:t xml:space="preserve">7698760 </w:t>
      </w:r>
      <w:proofErr w:type="spellStart"/>
      <w:r w:rsidR="00EE6AAC" w:rsidRPr="00F57876">
        <w:rPr>
          <w:highlight w:val="yellow"/>
        </w:rPr>
        <w:t>шт</w:t>
      </w:r>
      <w:proofErr w:type="spellEnd"/>
      <w:r w:rsidR="00EE6AAC" w:rsidRPr="00F57876">
        <w:rPr>
          <w:highlight w:val="yellow"/>
        </w:rPr>
        <w:t>),</w:t>
      </w:r>
      <w:r w:rsidR="00EE6AAC">
        <w:t xml:space="preserve"> накопленные лабораторией</w:t>
      </w:r>
      <w:r>
        <w:t xml:space="preserve">. </w:t>
      </w:r>
      <w:r w:rsidR="00EE6AAC">
        <w:t xml:space="preserve"> </w:t>
      </w:r>
      <w:r w:rsidR="008C5D57">
        <w:t xml:space="preserve">В настоящей работе в качестве контрольной группы </w:t>
      </w:r>
      <w:proofErr w:type="spellStart"/>
      <w:r w:rsidR="008C5D57">
        <w:t>п</w:t>
      </w:r>
      <w:r w:rsidR="00F57876">
        <w:t>олногеномному</w:t>
      </w:r>
      <w:proofErr w:type="spellEnd"/>
      <w:r w:rsidR="00F57876">
        <w:t xml:space="preserve"> </w:t>
      </w:r>
      <w:proofErr w:type="spellStart"/>
      <w:r w:rsidR="00F57876">
        <w:t>секвенированию</w:t>
      </w:r>
      <w:proofErr w:type="spellEnd"/>
      <w:r w:rsidR="00F57876">
        <w:t xml:space="preserve"> </w:t>
      </w:r>
      <w:proofErr w:type="spellStart"/>
      <w:r w:rsidR="00F57876">
        <w:t>митохондриальной</w:t>
      </w:r>
      <w:proofErr w:type="spellEnd"/>
      <w:r w:rsidR="00F57876">
        <w:t xml:space="preserve"> ДНК подвергли пробы от </w:t>
      </w:r>
      <w:r w:rsidR="00F57876" w:rsidRPr="00F95EDC">
        <w:rPr>
          <w:highlight w:val="yellow"/>
        </w:rPr>
        <w:t>(перечислить народы и их количество)</w:t>
      </w:r>
      <w:r w:rsidR="008C5D57">
        <w:t>.</w:t>
      </w:r>
      <w:r w:rsidR="00427EF1">
        <w:t xml:space="preserve"> Общая выборка для анализа </w:t>
      </w:r>
      <w:proofErr w:type="spellStart"/>
      <w:r w:rsidR="00427EF1">
        <w:t>мтДНК</w:t>
      </w:r>
      <w:proofErr w:type="spellEnd"/>
      <w:r w:rsidR="00427EF1">
        <w:t xml:space="preserve"> составила </w:t>
      </w:r>
      <w:r w:rsidR="00427EF1" w:rsidRPr="00427EF1">
        <w:rPr>
          <w:highlight w:val="yellow"/>
        </w:rPr>
        <w:t>3464й5</w:t>
      </w:r>
      <w:r w:rsidR="00427EF1">
        <w:t xml:space="preserve"> образца: </w:t>
      </w:r>
      <w:r w:rsidR="00427EF1" w:rsidRPr="00427EF1">
        <w:rPr>
          <w:highlight w:val="yellow"/>
        </w:rPr>
        <w:t>7648</w:t>
      </w:r>
      <w:r w:rsidR="00427EF1">
        <w:t xml:space="preserve"> новые последовательности получены в ходе настоящей работы и </w:t>
      </w:r>
      <w:r w:rsidR="00427EF1" w:rsidRPr="00427EF1">
        <w:rPr>
          <w:highlight w:val="yellow"/>
        </w:rPr>
        <w:t>152</w:t>
      </w:r>
      <w:r w:rsidR="00427EF1">
        <w:t xml:space="preserve"> опубликованы ранее.</w:t>
      </w:r>
    </w:p>
    <w:p w14:paraId="1DC426C7" w14:textId="619FCAD5" w:rsidR="00DC5779" w:rsidRPr="009260B3" w:rsidRDefault="008521E9" w:rsidP="008521E9">
      <w:pPr>
        <w:rPr>
          <w:b/>
        </w:rPr>
      </w:pPr>
      <w:r>
        <w:rPr>
          <w:b/>
        </w:rPr>
        <w:lastRenderedPageBreak/>
        <w:t>Методы</w:t>
      </w:r>
    </w:p>
    <w:p w14:paraId="4CE02CDC" w14:textId="77777777" w:rsidR="00744065" w:rsidRDefault="00744065" w:rsidP="00744065"/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0BBB3867" w14:textId="77777777" w:rsidR="00744065" w:rsidRDefault="00744065" w:rsidP="009260B3">
      <w:pPr>
        <w:jc w:val="both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магнитных частицах (</w:t>
      </w:r>
      <w:proofErr w:type="spellStart"/>
      <w:r>
        <w:t>SileksMagNA</w:t>
      </w:r>
      <w:proofErr w:type="spellEnd"/>
      <w:r>
        <w:t>-G), согласно указаниям производителя. Принцип используемого в наборе метода основан на обратимом связывании нуклеиновых кислот на поверхности магнитных частиц.</w:t>
      </w:r>
    </w:p>
    <w:p w14:paraId="286F78CC" w14:textId="77777777" w:rsidR="00744065" w:rsidRDefault="00744065" w:rsidP="00744065">
      <w:r>
        <w:t>Протокол выделения ДНК включал в себя следующие стадии:</w:t>
      </w:r>
    </w:p>
    <w:p w14:paraId="5779F87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В образец крови (100мкл) </w:t>
      </w:r>
      <w:r w:rsidR="00F917EA">
        <w:t>добавляли 120</w:t>
      </w:r>
      <w:r>
        <w:t xml:space="preserve"> </w:t>
      </w:r>
      <w:proofErr w:type="spellStart"/>
      <w:r>
        <w:t>мкл</w:t>
      </w:r>
      <w:proofErr w:type="spellEnd"/>
      <w:r>
        <w:t xml:space="preserve"> буфера START, хорошо перемешивали и инкубировали 5 мин </w:t>
      </w:r>
    </w:p>
    <w:p w14:paraId="7D3E86BC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 В </w:t>
      </w:r>
      <w:r w:rsidR="00F917EA">
        <w:t>отдельной</w:t>
      </w:r>
      <w:r>
        <w:t xml:space="preserve">̆ </w:t>
      </w:r>
      <w:r w:rsidR="00F917EA">
        <w:t>чистой</w:t>
      </w:r>
      <w:r>
        <w:t xml:space="preserve">̆ пробирке смешивали следующие компоненты: 240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Lysis&amp;Binding</w:t>
      </w:r>
      <w:proofErr w:type="spellEnd"/>
      <w:r>
        <w:t xml:space="preserve"> и 7 </w:t>
      </w:r>
      <w:proofErr w:type="spellStart"/>
      <w:r>
        <w:t>мкл</w:t>
      </w:r>
      <w:proofErr w:type="spellEnd"/>
      <w:r>
        <w:t xml:space="preserve"> хорошо перемешанных магнитных частиц (</w:t>
      </w:r>
      <w:proofErr w:type="spellStart"/>
      <w:r>
        <w:t>SileksMagNA</w:t>
      </w:r>
      <w:proofErr w:type="spellEnd"/>
      <w:r>
        <w:t>-G для выделения ДНК). Тщательно перемешивали эту смесь.</w:t>
      </w:r>
    </w:p>
    <w:p w14:paraId="62C3C465" w14:textId="77777777" w:rsidR="00744065" w:rsidRDefault="00744065" w:rsidP="009260B3">
      <w:pPr>
        <w:pStyle w:val="a3"/>
        <w:numPr>
          <w:ilvl w:val="0"/>
          <w:numId w:val="6"/>
        </w:numPr>
      </w:pPr>
      <w:r>
        <w:t>Добавляли приготовленную суспензию магнитных частиц в пробирку с образцом.</w:t>
      </w:r>
      <w:r w:rsidR="00F917EA">
        <w:t xml:space="preserve"> Инкубировали</w:t>
      </w:r>
      <w:r>
        <w:t xml:space="preserve"> в течение 3 минут при </w:t>
      </w:r>
      <w:r w:rsidR="00F917EA">
        <w:t>комнатной</w:t>
      </w:r>
      <w:r>
        <w:t>̆ температуре. Во время инкубации несколько раз перемешивали содержимое пробирки.</w:t>
      </w:r>
    </w:p>
    <w:p w14:paraId="0B523854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r w:rsidR="00F917EA">
        <w:t xml:space="preserve">магнитных </w:t>
      </w:r>
      <w:r>
        <w:t xml:space="preserve">штатив для сбора частиц, удаляли </w:t>
      </w:r>
      <w:proofErr w:type="spellStart"/>
      <w:r>
        <w:t>супернатант</w:t>
      </w:r>
      <w:proofErr w:type="spellEnd"/>
      <w:r>
        <w:t xml:space="preserve">. </w:t>
      </w:r>
    </w:p>
    <w:p w14:paraId="6C4795A0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Перемещали пробирку в </w:t>
      </w:r>
      <w:proofErr w:type="spellStart"/>
      <w:r>
        <w:t>немагнитныи</w:t>
      </w:r>
      <w:proofErr w:type="spellEnd"/>
      <w:r>
        <w:t xml:space="preserve">̆ штатив, </w:t>
      </w:r>
      <w:proofErr w:type="spellStart"/>
      <w:r>
        <w:t>ресуспендировали</w:t>
      </w:r>
      <w:proofErr w:type="spellEnd"/>
      <w:r>
        <w:t xml:space="preserve"> магнитные частицы в 300 </w:t>
      </w:r>
      <w:proofErr w:type="spellStart"/>
      <w:r>
        <w:t>мкл</w:t>
      </w:r>
      <w:proofErr w:type="spellEnd"/>
      <w:r>
        <w:t xml:space="preserve"> хорошо перемешанного буфера </w:t>
      </w:r>
      <w:proofErr w:type="spellStart"/>
      <w:r>
        <w:t>Wash</w:t>
      </w:r>
      <w:proofErr w:type="spellEnd"/>
      <w:r>
        <w:t xml:space="preserve"> 1 и тщательно перемешивали до получения </w:t>
      </w:r>
      <w:proofErr w:type="spellStart"/>
      <w:r>
        <w:t>гомогеннои</w:t>
      </w:r>
      <w:proofErr w:type="spellEnd"/>
      <w:r>
        <w:t xml:space="preserve">̆ суспензии. </w:t>
      </w:r>
      <w:r w:rsidR="00F917EA">
        <w:t>Перенесли</w:t>
      </w:r>
      <w:r>
        <w:t xml:space="preserve"> полученную суспензию в 1.5 мл пробирку для </w:t>
      </w:r>
      <w:r w:rsidR="00F917EA">
        <w:t>дальнейшего</w:t>
      </w:r>
      <w:r>
        <w:t xml:space="preserve"> выделения.</w:t>
      </w:r>
    </w:p>
    <w:p w14:paraId="1144144A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Помещали пробирку в </w:t>
      </w:r>
      <w:proofErr w:type="spellStart"/>
      <w:r>
        <w:t>магнитныи</w:t>
      </w:r>
      <w:proofErr w:type="spellEnd"/>
      <w:r>
        <w:t xml:space="preserve">̆ штатив для сбора частиц, удалите </w:t>
      </w:r>
      <w:proofErr w:type="spellStart"/>
      <w:r>
        <w:t>супернатант</w:t>
      </w:r>
      <w:proofErr w:type="spellEnd"/>
    </w:p>
    <w:p w14:paraId="7BCB036A" w14:textId="77777777" w:rsidR="00744065" w:rsidRDefault="00744065" w:rsidP="009260B3">
      <w:pPr>
        <w:pStyle w:val="a3"/>
        <w:numPr>
          <w:ilvl w:val="0"/>
          <w:numId w:val="6"/>
        </w:numPr>
      </w:pPr>
      <w:r>
        <w:t>Повторяли пункт 5 и 6 три раза с буфера</w:t>
      </w:r>
      <w:r w:rsidR="00F917EA">
        <w:t xml:space="preserve">ми </w:t>
      </w:r>
      <w:proofErr w:type="spellStart"/>
      <w:r w:rsidR="00F917EA">
        <w:t>Wash</w:t>
      </w:r>
      <w:proofErr w:type="spellEnd"/>
      <w:r w:rsidR="00F917EA">
        <w:t xml:space="preserve"> 1, </w:t>
      </w:r>
      <w:proofErr w:type="spellStart"/>
      <w:r w:rsidR="00F917EA">
        <w:t>Wash</w:t>
      </w:r>
      <w:proofErr w:type="spellEnd"/>
      <w:r w:rsidR="00F917EA">
        <w:t xml:space="preserve"> 2 и </w:t>
      </w:r>
      <w:proofErr w:type="spellStart"/>
      <w:r w:rsidR="00F917EA">
        <w:t>Final</w:t>
      </w:r>
      <w:proofErr w:type="spellEnd"/>
      <w:r w:rsidR="00F917EA">
        <w:t xml:space="preserve"> </w:t>
      </w:r>
      <w:proofErr w:type="spellStart"/>
      <w:r w:rsidR="00F917EA">
        <w:t>Wash</w:t>
      </w:r>
      <w:proofErr w:type="spellEnd"/>
      <w:r w:rsidR="00F917EA">
        <w:t xml:space="preserve"> </w:t>
      </w:r>
      <w:r>
        <w:t>соответственно.</w:t>
      </w:r>
    </w:p>
    <w:p w14:paraId="364F03FA" w14:textId="77777777" w:rsidR="00744065" w:rsidRDefault="00744065" w:rsidP="009260B3">
      <w:pPr>
        <w:pStyle w:val="a3"/>
        <w:numPr>
          <w:ilvl w:val="0"/>
          <w:numId w:val="6"/>
        </w:numPr>
      </w:pPr>
      <w:r>
        <w:t>Инкубировали пробирку в термостате при 60 °C в течение 5 минут, чтобы высушить осадок частиц.</w:t>
      </w:r>
    </w:p>
    <w:p w14:paraId="10585B13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Добавляли 50мкл буфера </w:t>
      </w:r>
      <w:proofErr w:type="spellStart"/>
      <w:r>
        <w:t>Elution</w:t>
      </w:r>
      <w:proofErr w:type="spellEnd"/>
      <w:r>
        <w:t xml:space="preserve">. Тщательно </w:t>
      </w:r>
      <w:proofErr w:type="spellStart"/>
      <w:r>
        <w:t>ресуспендировали</w:t>
      </w:r>
      <w:proofErr w:type="spellEnd"/>
      <w:r>
        <w:t xml:space="preserve"> частицы до получения </w:t>
      </w:r>
      <w:proofErr w:type="spellStart"/>
      <w:r>
        <w:t>гомогеннои</w:t>
      </w:r>
      <w:proofErr w:type="spellEnd"/>
      <w:r>
        <w:t xml:space="preserve">̆ суспензии и инкубировали в </w:t>
      </w:r>
      <w:r w:rsidR="00F917EA">
        <w:t>термостате</w:t>
      </w:r>
      <w:r>
        <w:t xml:space="preserve"> при 60°C в течение 5 минут.</w:t>
      </w:r>
    </w:p>
    <w:p w14:paraId="28AAA5CB" w14:textId="77777777" w:rsidR="00744065" w:rsidRDefault="00744065" w:rsidP="009260B3">
      <w:pPr>
        <w:pStyle w:val="a3"/>
        <w:numPr>
          <w:ilvl w:val="0"/>
          <w:numId w:val="6"/>
        </w:numPr>
      </w:pPr>
      <w:r>
        <w:t xml:space="preserve">Поместили пробирку в </w:t>
      </w:r>
      <w:proofErr w:type="spellStart"/>
      <w:r>
        <w:t>магнитныи</w:t>
      </w:r>
      <w:proofErr w:type="spellEnd"/>
      <w:r>
        <w:t>̆ штатив для сбора частиц. Перенесли ДНК-</w:t>
      </w:r>
      <w:r w:rsidR="00F917EA">
        <w:t>содержащий</w:t>
      </w:r>
      <w:r>
        <w:t>̆</w:t>
      </w:r>
      <w:r w:rsidR="00F917EA">
        <w:t xml:space="preserve"> </w:t>
      </w:r>
      <w:proofErr w:type="spellStart"/>
      <w:r>
        <w:t>супернатант</w:t>
      </w:r>
      <w:proofErr w:type="spellEnd"/>
      <w:r>
        <w:t xml:space="preserve"> в чистую пробирку.</w:t>
      </w:r>
    </w:p>
    <w:p w14:paraId="35A737EF" w14:textId="77777777" w:rsidR="009260B3" w:rsidRDefault="009260B3" w:rsidP="009260B3">
      <w:pPr>
        <w:pStyle w:val="a3"/>
      </w:pP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7D3A1AAC" w:rsidR="00A87636" w:rsidRDefault="00A87636" w:rsidP="009260B3"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>
        <w:t xml:space="preserve">ры </w:t>
      </w:r>
      <w:proofErr w:type="spellStart"/>
      <w:r>
        <w:t>праймеров</w:t>
      </w:r>
      <w:proofErr w:type="spellEnd"/>
      <w:r>
        <w:t xml:space="preserve"> указаны в Таблице 2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77777777" w:rsidR="00241F2A" w:rsidRDefault="00241F2A" w:rsidP="009260B3">
      <w:r>
        <w:t xml:space="preserve">Таблица 2. Список </w:t>
      </w:r>
      <w:proofErr w:type="spellStart"/>
      <w:r>
        <w:t>олигонуклеотидов</w:t>
      </w:r>
      <w:proofErr w:type="spellEnd"/>
      <w:r>
        <w:t xml:space="preserve">, использовавшихся в роли </w:t>
      </w:r>
      <w:proofErr w:type="spellStart"/>
      <w:r>
        <w:t>праймеров</w:t>
      </w:r>
      <w:proofErr w:type="spellEnd"/>
      <w:r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:rsidRPr="00C76B60" w14:paraId="793AF1B1" w14:textId="77777777" w:rsidTr="005649BB">
        <w:tc>
          <w:tcPr>
            <w:tcW w:w="3115" w:type="dxa"/>
          </w:tcPr>
          <w:p w14:paraId="59E03DAC" w14:textId="77777777" w:rsidR="005649BB" w:rsidRPr="00C76B60" w:rsidRDefault="005649BB" w:rsidP="009260B3">
            <w:r w:rsidRPr="00C76B60"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Pr="00C76B60" w:rsidRDefault="005649BB" w:rsidP="009260B3">
            <w:proofErr w:type="spellStart"/>
            <w:r w:rsidRPr="00C76B60">
              <w:t>Последовательноть</w:t>
            </w:r>
            <w:proofErr w:type="spellEnd"/>
            <w:r w:rsidRPr="00C76B60"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Pr="00C76B60" w:rsidRDefault="005649BB" w:rsidP="009260B3">
            <w:r w:rsidRPr="00C76B60">
              <w:t>Размер, п. н.</w:t>
            </w:r>
          </w:p>
        </w:tc>
      </w:tr>
      <w:tr w:rsidR="005649BB" w:rsidRPr="00C76B60" w14:paraId="6B136A51" w14:textId="77777777" w:rsidTr="005649BB">
        <w:tc>
          <w:tcPr>
            <w:tcW w:w="3115" w:type="dxa"/>
          </w:tcPr>
          <w:p w14:paraId="65571407" w14:textId="77777777" w:rsidR="005649BB" w:rsidRPr="00C76B60" w:rsidRDefault="005649BB" w:rsidP="009260B3">
            <w:r w:rsidRPr="00C76B60">
              <w:t>mtL13389</w:t>
            </w:r>
          </w:p>
        </w:tc>
        <w:tc>
          <w:tcPr>
            <w:tcW w:w="3115" w:type="dxa"/>
          </w:tcPr>
          <w:p w14:paraId="58A82CC7" w14:textId="77777777" w:rsidR="005649BB" w:rsidRPr="00C76B60" w:rsidRDefault="005649BB" w:rsidP="009260B3">
            <w:r w:rsidRPr="00C76B60"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6B42BEDF" w:rsidR="005649BB" w:rsidRPr="00C76B60" w:rsidRDefault="008E50DD" w:rsidP="00564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9933</w:t>
            </w:r>
          </w:p>
        </w:tc>
      </w:tr>
      <w:tr w:rsidR="00C76B60" w:rsidRPr="00C76B60" w14:paraId="7630D0C1" w14:textId="77777777" w:rsidTr="005649BB">
        <w:tc>
          <w:tcPr>
            <w:tcW w:w="3115" w:type="dxa"/>
          </w:tcPr>
          <w:p w14:paraId="62E2A600" w14:textId="68C2B7AD" w:rsidR="00C76B60" w:rsidRPr="00C76B60" w:rsidRDefault="00C76B60" w:rsidP="00C76B60">
            <w:r w:rsidRPr="00C76B60">
              <w:t>mtH6753</w:t>
            </w:r>
          </w:p>
        </w:tc>
        <w:tc>
          <w:tcPr>
            <w:tcW w:w="3115" w:type="dxa"/>
          </w:tcPr>
          <w:p w14:paraId="2C074284" w14:textId="0CB9EDDA" w:rsidR="00C76B60" w:rsidRPr="00C76B60" w:rsidRDefault="00C76B60" w:rsidP="00C76B60">
            <w:r w:rsidRPr="00C76B60">
              <w:t>TGTGCTCACACGATAAACCC</w:t>
            </w:r>
          </w:p>
        </w:tc>
        <w:tc>
          <w:tcPr>
            <w:tcW w:w="3115" w:type="dxa"/>
            <w:vMerge/>
          </w:tcPr>
          <w:p w14:paraId="2D8F86BD" w14:textId="77777777" w:rsidR="00C76B60" w:rsidRPr="00C76B60" w:rsidRDefault="00C76B60" w:rsidP="00C76B60"/>
        </w:tc>
      </w:tr>
      <w:tr w:rsidR="00C76B60" w:rsidRPr="00F57876" w14:paraId="0618D1E8" w14:textId="77777777" w:rsidTr="005649BB">
        <w:tc>
          <w:tcPr>
            <w:tcW w:w="3115" w:type="dxa"/>
          </w:tcPr>
          <w:p w14:paraId="739CEF1C" w14:textId="77777777" w:rsidR="00C76B60" w:rsidRPr="00C76B60" w:rsidRDefault="00C76B60" w:rsidP="00C76B60">
            <w:r w:rsidRPr="00C76B60">
              <w:t>mtL6563</w:t>
            </w:r>
          </w:p>
        </w:tc>
        <w:tc>
          <w:tcPr>
            <w:tcW w:w="3115" w:type="dxa"/>
          </w:tcPr>
          <w:p w14:paraId="668E0A51" w14:textId="77777777" w:rsidR="00C76B60" w:rsidRPr="00C76B60" w:rsidRDefault="00C76B60" w:rsidP="00C76B60">
            <w:r w:rsidRPr="00C76B60"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6986478A" w:rsidR="00C76B60" w:rsidRPr="00C76B60" w:rsidRDefault="00C76B60" w:rsidP="00C76B60">
            <w:pPr>
              <w:jc w:val="center"/>
            </w:pPr>
            <w:r>
              <w:t>7996</w:t>
            </w:r>
          </w:p>
        </w:tc>
      </w:tr>
      <w:tr w:rsidR="00C76B60" w:rsidRPr="00F57876" w14:paraId="62AF6739" w14:textId="77777777" w:rsidTr="005649BB">
        <w:tc>
          <w:tcPr>
            <w:tcW w:w="3115" w:type="dxa"/>
          </w:tcPr>
          <w:p w14:paraId="01396DC1" w14:textId="35EF78E3" w:rsidR="00C76B60" w:rsidRPr="00C76B60" w:rsidRDefault="00C76B60" w:rsidP="00C76B60">
            <w:r w:rsidRPr="00C76B60">
              <w:t>mtH14559</w:t>
            </w:r>
          </w:p>
        </w:tc>
        <w:tc>
          <w:tcPr>
            <w:tcW w:w="3115" w:type="dxa"/>
          </w:tcPr>
          <w:p w14:paraId="133428A2" w14:textId="661FA62A" w:rsidR="00C76B60" w:rsidRPr="00C76B60" w:rsidRDefault="00C76B60" w:rsidP="00C76B60">
            <w:r w:rsidRPr="00C76B60">
              <w:t>GATTGTTAGCGGTGTGGTCG</w:t>
            </w:r>
          </w:p>
        </w:tc>
        <w:tc>
          <w:tcPr>
            <w:tcW w:w="3115" w:type="dxa"/>
            <w:vMerge/>
          </w:tcPr>
          <w:p w14:paraId="53078613" w14:textId="77777777" w:rsidR="00C76B60" w:rsidRPr="00F57876" w:rsidRDefault="00C76B60" w:rsidP="00C76B60">
            <w:pPr>
              <w:rPr>
                <w:highlight w:val="yellow"/>
              </w:rPr>
            </w:pPr>
          </w:p>
        </w:tc>
      </w:tr>
    </w:tbl>
    <w:p w14:paraId="18EC88BD" w14:textId="77777777" w:rsidR="005649BB" w:rsidRDefault="005649BB" w:rsidP="009260B3"/>
    <w:p w14:paraId="258D7CC1" w14:textId="77777777" w:rsidR="00F57876" w:rsidRDefault="00744065" w:rsidP="006C1935">
      <w:pPr>
        <w:spacing w:after="0" w:line="360" w:lineRule="auto"/>
        <w:jc w:val="both"/>
      </w:pPr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</w:p>
    <w:p w14:paraId="38454DD5" w14:textId="73588259" w:rsidR="00A87636" w:rsidRDefault="00A87636" w:rsidP="00A87636">
      <w:pPr>
        <w:spacing w:after="0" w:line="360" w:lineRule="auto"/>
        <w:ind w:firstLine="709"/>
        <w:jc w:val="both"/>
      </w:pPr>
      <w:r w:rsidRPr="00746950">
        <w:t>94</w:t>
      </w:r>
      <w:r w:rsidRPr="00746950">
        <w:sym w:font="Symbol" w:char="F0B0"/>
      </w:r>
      <w:r w:rsidRPr="00746950">
        <w:t>С –  180 с, 35 циклов (94</w:t>
      </w:r>
      <w:r w:rsidRPr="00746950">
        <w:sym w:font="Symbol" w:char="F0B0"/>
      </w:r>
      <w:r w:rsidRPr="00746950">
        <w:t>С – 25 с, 60</w:t>
      </w:r>
      <w:r w:rsidRPr="00746950">
        <w:sym w:font="Symbol" w:char="F0B0"/>
      </w:r>
      <w:r w:rsidRPr="00746950">
        <w:t>С – 15</w:t>
      </w:r>
      <w:r w:rsidRPr="00D44C02">
        <w:t xml:space="preserve"> с, 68</w:t>
      </w:r>
      <w:r w:rsidRPr="00D44C02">
        <w:sym w:font="Symbol" w:char="F0B0"/>
      </w:r>
      <w:r w:rsidRPr="00D44C02">
        <w:t>С – 710 с), 72</w:t>
      </w:r>
      <w:r w:rsidRPr="00D44C02">
        <w:sym w:font="Symbol" w:char="F0B0"/>
      </w:r>
      <w:r w:rsidRPr="00D44C02">
        <w:t>С – 710 с, 12</w:t>
      </w:r>
      <w:r w:rsidRPr="00D44C02">
        <w:sym w:font="Symbol" w:char="F0B0"/>
      </w:r>
      <w:r w:rsidRPr="00D44C02">
        <w:t>С - ∞</w:t>
      </w:r>
      <w:r>
        <w:t>.</w:t>
      </w:r>
    </w:p>
    <w:p w14:paraId="45466CA3" w14:textId="2C6BA27D" w:rsidR="00744065" w:rsidRDefault="00744065" w:rsidP="009260B3"/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14:paraId="4295988B" w14:textId="3F5ACAA3" w:rsidR="00744065" w:rsidRDefault="00744065" w:rsidP="00744065"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0009EF08" w14:textId="3E4C8E2C" w:rsidR="00744065" w:rsidRDefault="009260B3" w:rsidP="009260B3">
      <w:pPr>
        <w:pStyle w:val="a3"/>
        <w:numPr>
          <w:ilvl w:val="0"/>
          <w:numId w:val="18"/>
        </w:numPr>
      </w:pPr>
      <w:proofErr w:type="spellStart"/>
      <w:r>
        <w:t>Секве</w:t>
      </w:r>
      <w:r w:rsidR="006C1935">
        <w:t>нирование</w:t>
      </w:r>
      <w:proofErr w:type="spellEnd"/>
      <w:r w:rsidR="006C1935">
        <w:t xml:space="preserve"> проводили</w:t>
      </w:r>
      <w:r w:rsidR="00744065">
        <w:t xml:space="preserve"> на </w:t>
      </w:r>
      <w:proofErr w:type="spellStart"/>
      <w:r w:rsidR="00744065">
        <w:t>платфореме</w:t>
      </w:r>
      <w:proofErr w:type="spellEnd"/>
      <w:r w:rsidR="00744065">
        <w:t xml:space="preserve"> </w:t>
      </w:r>
      <w:proofErr w:type="spellStart"/>
      <w:r w:rsidR="00744065">
        <w:t>Illumina</w:t>
      </w:r>
      <w:proofErr w:type="spellEnd"/>
      <w:r w:rsidR="00744065">
        <w:t xml:space="preserve"> </w:t>
      </w:r>
      <w:proofErr w:type="spellStart"/>
      <w:r w:rsidR="00744065">
        <w:t>HiSeq</w:t>
      </w:r>
      <w:proofErr w:type="spellEnd"/>
      <w:r w:rsidR="00744065">
        <w:t>.</w:t>
      </w:r>
    </w:p>
    <w:p w14:paraId="1823B3EA" w14:textId="77777777" w:rsidR="00744065" w:rsidRDefault="00744065" w:rsidP="00744065"/>
    <w:p w14:paraId="2CB9DFB8" w14:textId="77777777" w:rsidR="00744065" w:rsidRDefault="009260B3" w:rsidP="00744065">
      <w:r>
        <w:t xml:space="preserve">Методы </w:t>
      </w:r>
      <w:proofErr w:type="spellStart"/>
      <w:r>
        <w:t>биоинформатического</w:t>
      </w:r>
      <w:proofErr w:type="spellEnd"/>
      <w:r>
        <w:t xml:space="preserve"> анализа</w:t>
      </w:r>
    </w:p>
    <w:p w14:paraId="2CC36C20" w14:textId="43EC9CB2" w:rsidR="00744065" w:rsidRDefault="008521E9" w:rsidP="00744065">
      <w:r>
        <w:t>Оценка</w:t>
      </w:r>
      <w:r w:rsidR="00BC4E96">
        <w:t xml:space="preserve"> коротких прочтения </w:t>
      </w:r>
      <w:proofErr w:type="spellStart"/>
      <w:r w:rsidR="00BC4E96">
        <w:t>Illumina</w:t>
      </w:r>
      <w:proofErr w:type="spellEnd"/>
      <w:r w:rsidR="00BC4E96">
        <w:t xml:space="preserve"> была </w:t>
      </w:r>
      <w:proofErr w:type="spellStart"/>
      <w:r w:rsidR="00BC4E96">
        <w:t>осуществленна</w:t>
      </w:r>
      <w:proofErr w:type="spellEnd"/>
      <w:r w:rsidR="00BC4E96">
        <w:t xml:space="preserve"> программой </w:t>
      </w:r>
      <w:proofErr w:type="spellStart"/>
      <w:r w:rsidR="00BC4E96">
        <w:rPr>
          <w:lang w:val="en-US"/>
        </w:rPr>
        <w:t>FastQC</w:t>
      </w:r>
      <w:proofErr w:type="spellEnd"/>
      <w:r w:rsidR="00BC4E96">
        <w:t xml:space="preserve">. Адаптерные последовательности удалены </w:t>
      </w:r>
      <w:r w:rsidR="00744065">
        <w:t xml:space="preserve">при помощи </w:t>
      </w:r>
      <w:proofErr w:type="spellStart"/>
      <w:r w:rsidR="00744065">
        <w:t>AdapterRemoval</w:t>
      </w:r>
      <w:proofErr w:type="spellEnd"/>
      <w:r w:rsidR="00744065">
        <w:t xml:space="preserve"> v2.2.1 (</w:t>
      </w:r>
      <w:proofErr w:type="spellStart"/>
      <w:r w:rsidR="00744065">
        <w:t>Schubert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 xml:space="preserve">., 2016). Отфильтрованные короткие прочтения были </w:t>
      </w:r>
      <w:proofErr w:type="spellStart"/>
      <w:r w:rsidR="00744065">
        <w:t>ка</w:t>
      </w:r>
      <w:r>
        <w:t>ртированы</w:t>
      </w:r>
      <w:proofErr w:type="spellEnd"/>
      <w:r>
        <w:t xml:space="preserve"> на</w:t>
      </w:r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 w:rsidR="00BC4E96"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</w:p>
    <w:p w14:paraId="6017D65F" w14:textId="77777777" w:rsidR="001F0E4C" w:rsidRDefault="001F0E4C" w:rsidP="00744065"/>
    <w:p w14:paraId="0D87F70C" w14:textId="4424B3F7" w:rsidR="001F0E4C" w:rsidRDefault="001F0E4C" w:rsidP="001F0E4C">
      <w:pPr>
        <w:jc w:val="center"/>
        <w:rPr>
          <w:b/>
        </w:rPr>
      </w:pPr>
      <w:r w:rsidRPr="001F0E4C">
        <w:rPr>
          <w:b/>
        </w:rPr>
        <w:t>Результаты</w:t>
      </w:r>
    </w:p>
    <w:p w14:paraId="4F18D92E" w14:textId="77777777" w:rsidR="006C1935" w:rsidRDefault="006C1935" w:rsidP="001F0E4C">
      <w:pPr>
        <w:jc w:val="center"/>
        <w:rPr>
          <w:b/>
        </w:rPr>
      </w:pPr>
    </w:p>
    <w:p w14:paraId="535DC7CE" w14:textId="6B86C591" w:rsidR="006C1935" w:rsidRDefault="006C1935" w:rsidP="00D327E4">
      <w:r>
        <w:t xml:space="preserve">Визуализация продуктов </w:t>
      </w:r>
      <w:proofErr w:type="spellStart"/>
      <w:r>
        <w:t>пцр</w:t>
      </w:r>
      <w:proofErr w:type="spellEnd"/>
      <w:r>
        <w:t xml:space="preserve"> </w:t>
      </w:r>
      <w:proofErr w:type="spellStart"/>
      <w:r>
        <w:t>митохондриальной</w:t>
      </w:r>
      <w:proofErr w:type="spellEnd"/>
      <w:r>
        <w:t xml:space="preserve"> последовательности при помощи гель-электрофореза представлена на рисунке 1</w:t>
      </w:r>
    </w:p>
    <w:p w14:paraId="5FC03CEA" w14:textId="7A260D17" w:rsidR="00D327E4" w:rsidRDefault="00D327E4" w:rsidP="00D327E4"/>
    <w:p w14:paraId="05846A3F" w14:textId="77777777" w:rsidR="006C1935" w:rsidRDefault="008521E9" w:rsidP="00D327E4">
      <w:r>
        <w:rPr>
          <w:noProof/>
          <w:lang w:eastAsia="ru-RU"/>
        </w:rPr>
        <w:drawing>
          <wp:inline distT="0" distB="0" distL="0" distR="0" wp14:anchorId="42B3F2A9" wp14:editId="386C364F">
            <wp:extent cx="1885124" cy="185726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14" t="31028" r="13939" b="14396"/>
                    <a:stretch/>
                  </pic:blipFill>
                  <pic:spPr bwMode="auto">
                    <a:xfrm>
                      <a:off x="0" y="0"/>
                      <a:ext cx="1910195" cy="1881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DBF3D" w14:textId="5BF5F430" w:rsidR="00D327E4" w:rsidRDefault="00D327E4" w:rsidP="00D327E4">
      <w:r>
        <w:t xml:space="preserve">Рисунок 1. Продукты ПЦР </w:t>
      </w:r>
      <w:proofErr w:type="spellStart"/>
      <w:r>
        <w:t>митохондриальной</w:t>
      </w:r>
      <w:proofErr w:type="spellEnd"/>
      <w:r>
        <w:t xml:space="preserve"> последовательности </w:t>
      </w:r>
    </w:p>
    <w:p w14:paraId="0B053927" w14:textId="77777777" w:rsidR="000931A0" w:rsidRDefault="000931A0" w:rsidP="00D327E4"/>
    <w:p w14:paraId="3D9B559F" w14:textId="77777777" w:rsidR="000931A0" w:rsidRDefault="000931A0" w:rsidP="00D327E4"/>
    <w:p w14:paraId="5E43797D" w14:textId="77777777" w:rsidR="000931A0" w:rsidRDefault="000931A0" w:rsidP="00D327E4"/>
    <w:p w14:paraId="4499F5C5" w14:textId="717DA929" w:rsidR="000931A0" w:rsidRDefault="000931A0" w:rsidP="00D327E4"/>
    <w:p w14:paraId="588E2EC0" w14:textId="77777777" w:rsidR="00316727" w:rsidRDefault="00316727" w:rsidP="00D327E4"/>
    <w:p w14:paraId="05A5BBDE" w14:textId="124ABF00" w:rsidR="00C26A6E" w:rsidRPr="000931A0" w:rsidRDefault="00C26A6E" w:rsidP="00D327E4">
      <w:bookmarkStart w:id="7" w:name="_GoBack"/>
      <w:bookmarkEnd w:id="7"/>
      <w:r>
        <w:lastRenderedPageBreak/>
        <w:t xml:space="preserve">Результаты программы </w:t>
      </w:r>
      <w:proofErr w:type="spellStart"/>
      <w:r>
        <w:rPr>
          <w:lang w:val="en-US"/>
        </w:rPr>
        <w:t>FastQC</w:t>
      </w:r>
      <w:proofErr w:type="spellEnd"/>
    </w:p>
    <w:p w14:paraId="2FFBEEDF" w14:textId="1FA4EBAD" w:rsidR="005826F5" w:rsidRDefault="005826F5" w:rsidP="00D327E4">
      <w:r>
        <w:t xml:space="preserve">На основании отчета </w:t>
      </w:r>
      <w:proofErr w:type="spellStart"/>
      <w:r>
        <w:rPr>
          <w:lang w:val="en-US"/>
        </w:rPr>
        <w:t>FastQC</w:t>
      </w:r>
      <w:proofErr w:type="spellEnd"/>
      <w:r w:rsidR="00CD0CB2">
        <w:t xml:space="preserve"> был сделан вывод о том, что результаты </w:t>
      </w:r>
      <w:proofErr w:type="spellStart"/>
      <w:r w:rsidR="00CD0CB2">
        <w:t>секвенирования</w:t>
      </w:r>
      <w:proofErr w:type="spellEnd"/>
      <w:r w:rsidR="00CD0CB2">
        <w:t xml:space="preserve"> генома </w:t>
      </w:r>
      <w:proofErr w:type="spellStart"/>
      <w:r w:rsidR="000931A0">
        <w:t>мтДНК</w:t>
      </w:r>
      <w:proofErr w:type="spellEnd"/>
      <w:r w:rsidR="000931A0">
        <w:t xml:space="preserve"> пациентов с   </w:t>
      </w:r>
      <w:r w:rsidR="000931A0">
        <w:rPr>
          <w:lang w:val="en-US"/>
        </w:rPr>
        <w:t>LHON</w:t>
      </w:r>
      <w:r w:rsidR="000931A0" w:rsidRPr="000931A0">
        <w:t xml:space="preserve"> </w:t>
      </w:r>
      <w:r w:rsidR="00CD0CB2">
        <w:t xml:space="preserve">содержат в среднем 580700 прочтений длинной 50 </w:t>
      </w:r>
      <w:proofErr w:type="spellStart"/>
      <w:r w:rsidR="00CD0CB2">
        <w:t>п.н</w:t>
      </w:r>
      <w:proofErr w:type="spellEnd"/>
      <w:r w:rsidR="00CD0CB2">
        <w:t xml:space="preserve">., </w:t>
      </w:r>
      <w:r w:rsidR="00751CC8">
        <w:t xml:space="preserve">средний GC-контент которых составил 44-45%. </w:t>
      </w:r>
      <w:r w:rsidR="000931A0" w:rsidRPr="00B277EB">
        <w:rPr>
          <w:highlight w:val="yellow"/>
        </w:rPr>
        <w:t xml:space="preserve">Параметр </w:t>
      </w:r>
      <w:r w:rsidR="00B277EB" w:rsidRPr="00B277EB">
        <w:rPr>
          <w:highlight w:val="yellow"/>
        </w:rPr>
        <w:t xml:space="preserve">средний </w:t>
      </w:r>
      <w:proofErr w:type="spellStart"/>
      <w:r w:rsidR="00B277EB" w:rsidRPr="00B277EB">
        <w:rPr>
          <w:highlight w:val="yellow"/>
        </w:rPr>
        <w:t>фред</w:t>
      </w:r>
      <w:proofErr w:type="spellEnd"/>
      <w:r w:rsidR="00B277EB" w:rsidRPr="00B277EB">
        <w:rPr>
          <w:highlight w:val="yellow"/>
        </w:rPr>
        <w:t xml:space="preserve"> на каждое </w:t>
      </w:r>
      <w:proofErr w:type="spellStart"/>
      <w:r w:rsidR="00B277EB" w:rsidRPr="00B277EB">
        <w:rPr>
          <w:highlight w:val="yellow"/>
        </w:rPr>
        <w:t>прочтение!</w:t>
      </w:r>
      <w:r w:rsidR="000931A0">
        <w:t>качества</w:t>
      </w:r>
      <w:proofErr w:type="spellEnd"/>
      <w:r w:rsidR="000931A0">
        <w:t xml:space="preserve"> (</w:t>
      </w:r>
      <w:proofErr w:type="spellStart"/>
      <w:r w:rsidR="000931A0">
        <w:t>Phred</w:t>
      </w:r>
      <w:proofErr w:type="spellEnd"/>
      <w:r w:rsidR="000931A0">
        <w:t xml:space="preserve"> </w:t>
      </w:r>
      <w:proofErr w:type="spellStart"/>
      <w:r w:rsidR="000931A0">
        <w:t>Quality</w:t>
      </w:r>
      <w:proofErr w:type="spellEnd"/>
      <w:r w:rsidR="000931A0">
        <w:t xml:space="preserve"> </w:t>
      </w:r>
      <w:proofErr w:type="spellStart"/>
      <w:r w:rsidR="000931A0">
        <w:t>Score</w:t>
      </w:r>
      <w:proofErr w:type="spellEnd"/>
      <w:r w:rsidR="000931A0">
        <w:t xml:space="preserve">) </w:t>
      </w:r>
      <w:r w:rsidR="00751CC8">
        <w:t xml:space="preserve">Q </w:t>
      </w:r>
      <w:r w:rsidR="00751CC8">
        <w:sym w:font="Symbol" w:char="F0B3"/>
      </w:r>
      <w:r w:rsidR="000931A0">
        <w:t xml:space="preserve"> 3</w:t>
      </w:r>
      <w:r w:rsidR="00751CC8">
        <w:t>0 (т. е. вероятность ошиб</w:t>
      </w:r>
      <w:r w:rsidR="000931A0">
        <w:t xml:space="preserve">ки </w:t>
      </w:r>
      <w:proofErr w:type="spellStart"/>
      <w:r w:rsidR="000931A0">
        <w:t>секвенирования</w:t>
      </w:r>
      <w:proofErr w:type="spellEnd"/>
      <w:r w:rsidR="000931A0">
        <w:t xml:space="preserve"> не более 0.1%).</w:t>
      </w:r>
      <w:r w:rsidR="004903A5">
        <w:t xml:space="preserve"> </w:t>
      </w:r>
    </w:p>
    <w:p w14:paraId="088754B1" w14:textId="30F7626E" w:rsidR="004903A5" w:rsidRPr="00482803" w:rsidRDefault="004903A5" w:rsidP="00D327E4">
      <w:r>
        <w:t xml:space="preserve">Результаты </w:t>
      </w:r>
      <w:proofErr w:type="spellStart"/>
      <w:r>
        <w:t>секвенирова</w:t>
      </w:r>
      <w:r w:rsidR="00757DB7">
        <w:t>ния</w:t>
      </w:r>
      <w:proofErr w:type="spellEnd"/>
      <w:r w:rsidR="00757DB7">
        <w:t xml:space="preserve"> контрол</w:t>
      </w:r>
      <w:r w:rsidR="009E4C45">
        <w:t>ьной группы показали среднее число прочтений 544029</w:t>
      </w:r>
      <w:r w:rsidR="00482803">
        <w:t xml:space="preserve"> длинной 50 </w:t>
      </w:r>
      <w:proofErr w:type="spellStart"/>
      <w:r w:rsidR="00482803">
        <w:t>п.н</w:t>
      </w:r>
      <w:proofErr w:type="spellEnd"/>
      <w:r w:rsidR="00482803">
        <w:t xml:space="preserve">., </w:t>
      </w:r>
      <w:r w:rsidR="00482803">
        <w:rPr>
          <w:lang w:val="en-US"/>
        </w:rPr>
        <w:t>GC</w:t>
      </w:r>
      <w:r w:rsidR="00482803">
        <w:t xml:space="preserve">-состав </w:t>
      </w:r>
      <w:proofErr w:type="gramStart"/>
      <w:r w:rsidR="00482803">
        <w:t>которых  составляет</w:t>
      </w:r>
      <w:proofErr w:type="gramEnd"/>
      <w:r w:rsidR="00482803">
        <w:t xml:space="preserve"> 44-45%</w:t>
      </w:r>
    </w:p>
    <w:p w14:paraId="67931AB3" w14:textId="77777777" w:rsidR="005826F5" w:rsidRPr="001A09A4" w:rsidRDefault="005826F5" w:rsidP="00D327E4"/>
    <w:p w14:paraId="2BED1013" w14:textId="2005427C" w:rsidR="001A09A4" w:rsidRPr="001A09A4" w:rsidRDefault="001A09A4" w:rsidP="00D327E4"/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972460F"/>
    <w:multiLevelType w:val="hybridMultilevel"/>
    <w:tmpl w:val="C50A8E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014D90"/>
    <w:rsid w:val="000931A0"/>
    <w:rsid w:val="000D5135"/>
    <w:rsid w:val="00127C9A"/>
    <w:rsid w:val="00136300"/>
    <w:rsid w:val="00143728"/>
    <w:rsid w:val="001A09A4"/>
    <w:rsid w:val="001E4850"/>
    <w:rsid w:val="001F0E4C"/>
    <w:rsid w:val="00241F2A"/>
    <w:rsid w:val="002B34BA"/>
    <w:rsid w:val="002D4ACB"/>
    <w:rsid w:val="00316727"/>
    <w:rsid w:val="00391E57"/>
    <w:rsid w:val="00397EE2"/>
    <w:rsid w:val="00427EF1"/>
    <w:rsid w:val="00447CD1"/>
    <w:rsid w:val="00456912"/>
    <w:rsid w:val="00477C32"/>
    <w:rsid w:val="00482803"/>
    <w:rsid w:val="004903A5"/>
    <w:rsid w:val="0053142B"/>
    <w:rsid w:val="005649BB"/>
    <w:rsid w:val="00570B6E"/>
    <w:rsid w:val="005826F5"/>
    <w:rsid w:val="005D35F0"/>
    <w:rsid w:val="00624864"/>
    <w:rsid w:val="00681FFB"/>
    <w:rsid w:val="006827A7"/>
    <w:rsid w:val="00685447"/>
    <w:rsid w:val="006C1935"/>
    <w:rsid w:val="00744065"/>
    <w:rsid w:val="00751CC8"/>
    <w:rsid w:val="00757DB7"/>
    <w:rsid w:val="008521E9"/>
    <w:rsid w:val="00894553"/>
    <w:rsid w:val="008B3EC1"/>
    <w:rsid w:val="008C5D57"/>
    <w:rsid w:val="008D7124"/>
    <w:rsid w:val="008E50DD"/>
    <w:rsid w:val="00921E28"/>
    <w:rsid w:val="009260B3"/>
    <w:rsid w:val="00964535"/>
    <w:rsid w:val="009763CE"/>
    <w:rsid w:val="00983A0E"/>
    <w:rsid w:val="009E3778"/>
    <w:rsid w:val="009E4C45"/>
    <w:rsid w:val="00A05A5D"/>
    <w:rsid w:val="00A87636"/>
    <w:rsid w:val="00AD2497"/>
    <w:rsid w:val="00AD7439"/>
    <w:rsid w:val="00AF3C35"/>
    <w:rsid w:val="00B277EB"/>
    <w:rsid w:val="00BC4E96"/>
    <w:rsid w:val="00C26A6E"/>
    <w:rsid w:val="00C500D5"/>
    <w:rsid w:val="00C76B60"/>
    <w:rsid w:val="00CD0CB2"/>
    <w:rsid w:val="00D31FB0"/>
    <w:rsid w:val="00D327E4"/>
    <w:rsid w:val="00DC5779"/>
    <w:rsid w:val="00DF7A90"/>
    <w:rsid w:val="00E21E2F"/>
    <w:rsid w:val="00EE6AAC"/>
    <w:rsid w:val="00F57876"/>
    <w:rsid w:val="00F6183D"/>
    <w:rsid w:val="00F67C88"/>
    <w:rsid w:val="00F917EA"/>
    <w:rsid w:val="00F9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kamanov</cp:lastModifiedBy>
  <cp:revision>24</cp:revision>
  <dcterms:created xsi:type="dcterms:W3CDTF">2017-10-14T09:18:00Z</dcterms:created>
  <dcterms:modified xsi:type="dcterms:W3CDTF">2017-10-23T10:23:00Z</dcterms:modified>
</cp:coreProperties>
</file>