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:rsidR="00744065" w:rsidRPr="00033247" w:rsidRDefault="00744065" w:rsidP="00744065">
      <w:pPr>
        <w:jc w:val="center"/>
        <w:rPr>
          <w:rFonts w:ascii="Times New Roman" w:hAnsi="Times New Roman"/>
          <w:b/>
          <w:sz w:val="40"/>
          <w:szCs w:val="44"/>
        </w:rPr>
      </w:pPr>
      <w:r w:rsidRPr="00033247">
        <w:rPr>
          <w:rFonts w:ascii="Times New Roman" w:hAnsi="Times New Roman"/>
          <w:b/>
          <w:sz w:val="40"/>
          <w:szCs w:val="44"/>
        </w:rPr>
        <w:t>Отчёт</w:t>
      </w:r>
    </w:p>
    <w:p w:rsidR="00744065" w:rsidRPr="00033247" w:rsidRDefault="00744065" w:rsidP="00744065">
      <w:pPr>
        <w:jc w:val="center"/>
        <w:rPr>
          <w:rFonts w:ascii="Times New Roman" w:hAnsi="Times New Roman"/>
          <w:b/>
          <w:sz w:val="40"/>
          <w:szCs w:val="44"/>
        </w:rPr>
      </w:pPr>
      <w:r w:rsidRPr="00033247">
        <w:rPr>
          <w:rFonts w:ascii="Times New Roman" w:hAnsi="Times New Roman"/>
          <w:b/>
          <w:sz w:val="40"/>
          <w:szCs w:val="44"/>
        </w:rPr>
        <w:t xml:space="preserve"> по большому биохимическому практикуму:</w:t>
      </w:r>
    </w:p>
    <w:p w:rsidR="00744065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:rsidR="00744065" w:rsidRDefault="00744065" w:rsidP="00744065">
      <w:pPr>
        <w:rPr>
          <w:rFonts w:ascii="Times New Roman" w:hAnsi="Times New Roman"/>
        </w:rPr>
      </w:pP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Pr="00B41A81" w:rsidRDefault="00744065" w:rsidP="00744065">
      <w:pPr>
        <w:rPr>
          <w:rFonts w:ascii="Times New Roman" w:hAnsi="Times New Roman"/>
        </w:rPr>
      </w:pPr>
    </w:p>
    <w:p w:rsidR="00744065" w:rsidRDefault="00744065" w:rsidP="00744065">
      <w:pPr>
        <w:jc w:val="center"/>
        <w:rPr>
          <w:rFonts w:ascii="Times New Roman" w:hAnsi="Times New Roman"/>
        </w:rPr>
      </w:pPr>
    </w:p>
    <w:p w:rsidR="00744065" w:rsidRPr="00C8358B" w:rsidRDefault="00744065" w:rsidP="00744065">
      <w:pPr>
        <w:jc w:val="center"/>
        <w:rPr>
          <w:rFonts w:ascii="Times New Roman" w:hAnsi="Times New Roman"/>
        </w:rPr>
      </w:pPr>
    </w:p>
    <w:p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:rsidR="00744065" w:rsidRDefault="00744065" w:rsidP="00744065">
      <w:pPr>
        <w:jc w:val="center"/>
      </w:pPr>
      <w:r>
        <w:lastRenderedPageBreak/>
        <w:t>Содержание</w:t>
      </w: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Default="00744065" w:rsidP="00744065">
      <w:pPr>
        <w:jc w:val="center"/>
      </w:pPr>
    </w:p>
    <w:p w:rsidR="00744065" w:rsidRPr="009260B3" w:rsidRDefault="00744065" w:rsidP="00744065">
      <w:pPr>
        <w:jc w:val="center"/>
        <w:rPr>
          <w:b/>
        </w:rPr>
      </w:pPr>
      <w:r w:rsidRPr="009260B3">
        <w:rPr>
          <w:b/>
        </w:rPr>
        <w:lastRenderedPageBreak/>
        <w:t>Введение</w:t>
      </w:r>
    </w:p>
    <w:p w:rsidR="00744065" w:rsidRDefault="00744065" w:rsidP="00744065">
      <w:r>
        <w:tab/>
      </w:r>
    </w:p>
    <w:p w:rsidR="00D31FB0" w:rsidRDefault="00744065" w:rsidP="00744065">
      <w:r>
        <w:tab/>
        <w:t xml:space="preserve">В первую очередь, причина возникновения </w:t>
      </w:r>
      <w:proofErr w:type="spellStart"/>
      <w:r>
        <w:t>митохондриальных</w:t>
      </w:r>
      <w:proofErr w:type="spellEnd"/>
      <w:r>
        <w:t xml:space="preserve"> расстройств кроется в </w:t>
      </w:r>
      <w:proofErr w:type="spellStart"/>
      <w:r>
        <w:t>деффектах</w:t>
      </w:r>
      <w:proofErr w:type="spellEnd"/>
      <w:r>
        <w:t xml:space="preserve"> системы окислительного </w:t>
      </w:r>
      <w:proofErr w:type="spellStart"/>
      <w:r>
        <w:t>фосфорилирования</w:t>
      </w:r>
      <w:proofErr w:type="spellEnd"/>
      <w:r>
        <w:t xml:space="preserve">, </w:t>
      </w:r>
      <w:proofErr w:type="spellStart"/>
      <w:r>
        <w:t>вследствии</w:t>
      </w:r>
      <w:proofErr w:type="spellEnd"/>
      <w:r>
        <w:t xml:space="preserve"> мутаций в </w:t>
      </w:r>
      <w:proofErr w:type="spellStart"/>
      <w:r>
        <w:t>митохондриальном</w:t>
      </w:r>
      <w:proofErr w:type="spellEnd"/>
      <w:r>
        <w:t xml:space="preserve"> геноме</w:t>
      </w:r>
      <w:r w:rsidR="00241F2A">
        <w:t xml:space="preserve">. </w:t>
      </w:r>
      <w:r w:rsidR="00AD2497" w:rsidRPr="00AD2497">
        <w:t xml:space="preserve">Отличительная особенность </w:t>
      </w:r>
      <w:proofErr w:type="spellStart"/>
      <w:r w:rsidR="00AD2497" w:rsidRPr="00AD2497">
        <w:t>митохондриальных</w:t>
      </w:r>
      <w:proofErr w:type="spellEnd"/>
      <w:r w:rsidR="00AD2497" w:rsidRPr="00AD2497">
        <w:t xml:space="preserve"> заболеваний человека состоит в их фенотипической многоликости</w:t>
      </w:r>
      <w:r w:rsidR="00D31FB0">
        <w:t xml:space="preserve"> (</w:t>
      </w:r>
      <w:r w:rsidR="00D31FB0">
        <w:t xml:space="preserve">предопределяется соотношением </w:t>
      </w:r>
      <w:r w:rsidR="00D31FB0">
        <w:t xml:space="preserve">нормальных и мутировавших </w:t>
      </w:r>
      <w:proofErr w:type="spellStart"/>
      <w:r w:rsidR="00D31FB0">
        <w:t>мтДНК</w:t>
      </w:r>
      <w:proofErr w:type="spellEnd"/>
      <w:r w:rsidR="00D31FB0">
        <w:t>)</w:t>
      </w:r>
      <w:r w:rsidR="00AD2497" w:rsidRPr="00AD2497">
        <w:t xml:space="preserve"> и в </w:t>
      </w:r>
      <w:r w:rsidR="00AD2497" w:rsidRPr="00AD2497">
        <w:t xml:space="preserve">существовании </w:t>
      </w:r>
      <w:proofErr w:type="spellStart"/>
      <w:r w:rsidR="00AD2497" w:rsidRPr="00AD2497">
        <w:t>гетероплазмии</w:t>
      </w:r>
      <w:proofErr w:type="spellEnd"/>
      <w:r w:rsidR="00D31FB0">
        <w:t xml:space="preserve"> - </w:t>
      </w:r>
      <w:r w:rsidR="00AD2497" w:rsidRPr="00AD2497">
        <w:t>смесь двух или более генотипов)</w:t>
      </w:r>
      <w:r w:rsidR="00241F2A" w:rsidRPr="00241F2A">
        <w:t xml:space="preserve"> </w:t>
      </w:r>
      <w:r w:rsidR="00241F2A">
        <w:t>(</w:t>
      </w:r>
      <w:proofErr w:type="spellStart"/>
      <w:r w:rsidR="00241F2A">
        <w:fldChar w:fldCharType="begin"/>
      </w:r>
      <w:r w:rsidR="00241F2A">
        <w:instrText xml:space="preserve"> HYPERLINK "https://elibrary.ru/author_items.asp?authorid=622662" \o "Список публикаций этого автора" </w:instrText>
      </w:r>
      <w:r w:rsidR="00241F2A">
        <w:fldChar w:fldCharType="separate"/>
      </w:r>
      <w:r w:rsidR="00241F2A">
        <w:t>Мазунин</w:t>
      </w:r>
      <w:proofErr w:type="spellEnd"/>
      <w:r w:rsidR="00241F2A" w:rsidRPr="00241F2A">
        <w:t xml:space="preserve"> И.О.</w:t>
      </w:r>
      <w:r w:rsidR="00241F2A">
        <w:fldChar w:fldCharType="end"/>
      </w:r>
      <w:r w:rsidR="00241F2A">
        <w:t>, 2010)</w:t>
      </w:r>
      <w:r w:rsidR="00AD2497">
        <w:rPr>
          <w:rFonts w:ascii="Tahoma" w:hAnsi="Tahoma" w:cs="Tahoma"/>
          <w:color w:val="000000"/>
          <w:sz w:val="16"/>
          <w:szCs w:val="16"/>
          <w:shd w:val="clear" w:color="auto" w:fill="F5F5F5"/>
        </w:rPr>
        <w:t>.</w:t>
      </w:r>
      <w:r w:rsidR="00D31FB0" w:rsidRPr="00D31FB0">
        <w:t xml:space="preserve"> </w:t>
      </w:r>
      <w:r>
        <w:t xml:space="preserve">Различные ткани и органы зависят от </w:t>
      </w:r>
      <w:proofErr w:type="spellStart"/>
      <w:r>
        <w:t>митохондриальнои</w:t>
      </w:r>
      <w:proofErr w:type="spellEnd"/>
      <w:r>
        <w:t xml:space="preserve">̆ активности в </w:t>
      </w:r>
      <w:proofErr w:type="spellStart"/>
      <w:r>
        <w:t>разнои</w:t>
      </w:r>
      <w:proofErr w:type="spellEnd"/>
      <w:r>
        <w:t xml:space="preserve">̆ степени, следовательно, будут обладать </w:t>
      </w:r>
      <w:r w:rsidR="00D31FB0">
        <w:t>различным</w:t>
      </w:r>
      <w:r w:rsidR="00D31FB0" w:rsidRPr="00D31FB0">
        <w:t xml:space="preserve"> уровнем </w:t>
      </w:r>
      <w:proofErr w:type="spellStart"/>
      <w:r w:rsidR="00D31FB0" w:rsidRPr="00D31FB0">
        <w:t>гетероплазмии</w:t>
      </w:r>
      <w:proofErr w:type="spellEnd"/>
      <w:r w:rsidR="00D31FB0" w:rsidRPr="00D31FB0">
        <w:t xml:space="preserve"> </w:t>
      </w:r>
      <w:proofErr w:type="spellStart"/>
      <w:r w:rsidR="00D31FB0" w:rsidRPr="00D31FB0">
        <w:t>митохондриальной</w:t>
      </w:r>
      <w:proofErr w:type="spellEnd"/>
      <w:r w:rsidR="00D31FB0" w:rsidRPr="00D31FB0">
        <w:t xml:space="preserve"> ДНК для</w:t>
      </w:r>
      <w:r>
        <w:t xml:space="preserve"> нарушения энергетического обмени и дисфункции определенного органа или ткани. Нервные и мышечные элементы наиболее подвержены последствиям изменений в работе митохондрий</w:t>
      </w:r>
      <w:r w:rsidR="008D7124">
        <w:t xml:space="preserve"> (Литвинова Н.А.,2014)</w:t>
      </w:r>
      <w:r>
        <w:t xml:space="preserve">. </w:t>
      </w:r>
      <w:r w:rsidR="00D31FB0">
        <w:t xml:space="preserve">    </w:t>
      </w:r>
    </w:p>
    <w:p w:rsidR="00744065" w:rsidRDefault="00744065" w:rsidP="008D7124">
      <w:pPr>
        <w:spacing w:before="240"/>
        <w:ind w:firstLine="708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 xml:space="preserve">м зрения.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 xml:space="preserve">, 2011). </w:t>
      </w:r>
      <w:r>
        <w:t xml:space="preserve">LHON наследуется исключительно по материнской линии и проявляется безболезненной потерей центрального зрения вследствие дегенерации </w:t>
      </w:r>
      <w:proofErr w:type="spellStart"/>
      <w:r>
        <w:t>ганглионарных</w:t>
      </w:r>
      <w:proofErr w:type="spellEnd"/>
      <w:r>
        <w:t xml:space="preserve"> нейронов сетчатки</w:t>
      </w:r>
      <w:r w:rsidR="00681FFB">
        <w:t>. 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:rsidR="00681FFB" w:rsidRDefault="00681FFB" w:rsidP="00D31FB0">
      <w:pPr>
        <w:ind w:firstLine="708"/>
      </w:pPr>
      <w:r>
        <w:t xml:space="preserve">На сегодняшний день для диагностирования </w:t>
      </w:r>
      <w:proofErr w:type="spellStart"/>
      <w:r>
        <w:t>митохондриальных</w:t>
      </w:r>
      <w:proofErr w:type="spellEnd"/>
      <w:r>
        <w:t xml:space="preserve"> заболеваний </w:t>
      </w:r>
      <w:r w:rsidR="00397EE2">
        <w:t xml:space="preserve">можно использовать </w:t>
      </w:r>
      <w:proofErr w:type="spellStart"/>
      <w:r w:rsidR="00397EE2">
        <w:t>секвенаторы</w:t>
      </w:r>
      <w:proofErr w:type="spellEnd"/>
      <w:r w:rsidR="00397EE2">
        <w:t xml:space="preserve"> нового поколения, дающие результаты с высокой точностью</w:t>
      </w:r>
    </w:p>
    <w:p w:rsidR="00744065" w:rsidRDefault="00397EE2" w:rsidP="00744065">
      <w:r>
        <w:t xml:space="preserve">Цель данной курсовой работы – анализ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митохондриальных</w:t>
      </w:r>
      <w:proofErr w:type="spellEnd"/>
      <w:r>
        <w:t xml:space="preserve"> ДНК людей,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, для выявления </w:t>
      </w:r>
      <w:proofErr w:type="spellStart"/>
      <w:r>
        <w:t>тканеспецифичных</w:t>
      </w:r>
      <w:proofErr w:type="spellEnd"/>
      <w:r>
        <w:t xml:space="preserve"> мутаций.</w:t>
      </w:r>
    </w:p>
    <w:p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людей, страдающий </w:t>
      </w:r>
      <w:r>
        <w:t xml:space="preserve">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>.</w:t>
      </w:r>
    </w:p>
    <w:p w:rsidR="001F0E4C" w:rsidRDefault="001F0E4C" w:rsidP="001F0E4C">
      <w:pPr>
        <w:pStyle w:val="a3"/>
        <w:numPr>
          <w:ilvl w:val="0"/>
          <w:numId w:val="19"/>
        </w:numPr>
      </w:pPr>
      <w:r>
        <w:t xml:space="preserve">Провести ПЦР для наработки </w:t>
      </w:r>
      <w:proofErr w:type="spellStart"/>
      <w:r>
        <w:t>митохондриальной</w:t>
      </w:r>
      <w:proofErr w:type="spellEnd"/>
      <w:r>
        <w:t xml:space="preserve"> ДНК</w:t>
      </w:r>
    </w:p>
    <w:p w:rsidR="001F0E4C" w:rsidRPr="001F0E4C" w:rsidRDefault="001F0E4C" w:rsidP="001F0E4C">
      <w:pPr>
        <w:pStyle w:val="a3"/>
        <w:numPr>
          <w:ilvl w:val="0"/>
          <w:numId w:val="19"/>
        </w:numPr>
      </w:pPr>
      <w:r>
        <w:t xml:space="preserve">Осуществить </w:t>
      </w:r>
      <w:proofErr w:type="spellStart"/>
      <w:r>
        <w:t>биоинфрматический</w:t>
      </w:r>
      <w:proofErr w:type="spellEnd"/>
      <w:r>
        <w:t xml:space="preserve"> анализ, для выявления </w:t>
      </w:r>
      <w:proofErr w:type="spellStart"/>
      <w:r>
        <w:t>тканеспецифичных</w:t>
      </w:r>
      <w:proofErr w:type="spellEnd"/>
      <w:r>
        <w:t xml:space="preserve"> мутаций</w:t>
      </w:r>
    </w:p>
    <w:p w:rsidR="00744065" w:rsidRDefault="00744065" w:rsidP="00744065"/>
    <w:p w:rsidR="00744065" w:rsidRDefault="00744065" w:rsidP="00744065">
      <w:r>
        <w:tab/>
      </w:r>
    </w:p>
    <w:p w:rsidR="00744065" w:rsidRPr="009260B3" w:rsidRDefault="009260B3" w:rsidP="009260B3">
      <w:pPr>
        <w:jc w:val="center"/>
        <w:rPr>
          <w:b/>
        </w:rPr>
      </w:pPr>
      <w:r w:rsidRPr="009260B3">
        <w:rPr>
          <w:b/>
        </w:rPr>
        <w:t>Методы</w:t>
      </w:r>
    </w:p>
    <w:p w:rsidR="00744065" w:rsidRDefault="00744065" w:rsidP="00744065"/>
    <w:p w:rsidR="00744065" w:rsidRPr="009260B3" w:rsidRDefault="00744065" w:rsidP="00744065">
      <w:r w:rsidRPr="009260B3">
        <w:t>В ходе работы применялись следующи</w:t>
      </w:r>
      <w:r w:rsidR="00F917EA" w:rsidRPr="009260B3">
        <w:t>е методы молекулярного анализа:</w:t>
      </w:r>
    </w:p>
    <w:p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:rsidR="00744065" w:rsidRDefault="00744065" w:rsidP="00744065">
      <w:r>
        <w:lastRenderedPageBreak/>
        <w:t>Протокол выделения ДНК включал в себя следующие стадии: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:rsidR="009260B3" w:rsidRDefault="009260B3" w:rsidP="009260B3">
      <w:pPr>
        <w:pStyle w:val="a3"/>
      </w:pPr>
    </w:p>
    <w:p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:rsidR="00241F2A" w:rsidRDefault="00744065" w:rsidP="00241F2A">
      <w:r>
        <w:t>Реакцию проводил</w:t>
      </w:r>
      <w:r w:rsidR="00F917EA">
        <w:t xml:space="preserve">и в 24 </w:t>
      </w:r>
      <w:proofErr w:type="spellStart"/>
      <w:r w:rsidR="00F917EA">
        <w:t>мкл</w:t>
      </w:r>
      <w:proofErr w:type="spellEnd"/>
      <w:r w:rsidR="00F917EA">
        <w:t xml:space="preserve"> следующего состава: </w:t>
      </w:r>
      <w:r>
        <w:t xml:space="preserve">10.25 </w:t>
      </w:r>
      <w:proofErr w:type="spellStart"/>
      <w:r>
        <w:t>мкл</w:t>
      </w:r>
      <w:proofErr w:type="spellEnd"/>
      <w:r>
        <w:t xml:space="preserve"> Н2О, 1.75 </w:t>
      </w:r>
      <w:proofErr w:type="spellStart"/>
      <w:r>
        <w:t>мкл</w:t>
      </w:r>
      <w:proofErr w:type="spellEnd"/>
      <w:r>
        <w:t xml:space="preserve"> MgCl2(25мМ), 5.00 PCR </w:t>
      </w:r>
      <w:proofErr w:type="spellStart"/>
      <w:r>
        <w:t>Buffer</w:t>
      </w:r>
      <w:proofErr w:type="spellEnd"/>
      <w:r>
        <w:t xml:space="preserve"> 5x KAPA, 10 </w:t>
      </w:r>
      <w:proofErr w:type="spellStart"/>
      <w:r>
        <w:t>мМ</w:t>
      </w:r>
      <w:proofErr w:type="spellEnd"/>
      <w:r>
        <w:t xml:space="preserve"> </w:t>
      </w:r>
      <w:proofErr w:type="spellStart"/>
      <w:r>
        <w:t>дНТФ</w:t>
      </w:r>
      <w:proofErr w:type="spellEnd"/>
      <w:r>
        <w:t xml:space="preserve">, 2.5 </w:t>
      </w:r>
      <w:proofErr w:type="spellStart"/>
      <w:r>
        <w:t>мкл</w:t>
      </w:r>
      <w:proofErr w:type="spellEnd"/>
      <w:r>
        <w:t xml:space="preserve"> </w:t>
      </w:r>
      <w:proofErr w:type="spellStart"/>
      <w:r>
        <w:t>праймера</w:t>
      </w:r>
      <w:proofErr w:type="spellEnd"/>
      <w:r>
        <w:t xml:space="preserve"> </w:t>
      </w:r>
      <w:proofErr w:type="spellStart"/>
      <w:r>
        <w:t>mtL</w:t>
      </w:r>
      <w:proofErr w:type="spellEnd"/>
      <w:r>
        <w:t xml:space="preserve"> (10мМ), 2.5 </w:t>
      </w:r>
      <w:proofErr w:type="spellStart"/>
      <w:r>
        <w:t>мкл</w:t>
      </w:r>
      <w:proofErr w:type="spellEnd"/>
      <w:r>
        <w:t xml:space="preserve"> </w:t>
      </w:r>
      <w:proofErr w:type="spellStart"/>
      <w:r>
        <w:t>праймера</w:t>
      </w:r>
      <w:proofErr w:type="spellEnd"/>
      <w:r>
        <w:t xml:space="preserve"> </w:t>
      </w:r>
      <w:proofErr w:type="spellStart"/>
      <w:r w:rsidRPr="00D327E4">
        <w:t>mtH</w:t>
      </w:r>
      <w:proofErr w:type="spellEnd"/>
      <w:r>
        <w:t xml:space="preserve"> (10мМ) (пары </w:t>
      </w:r>
      <w:proofErr w:type="spellStart"/>
      <w:r>
        <w:t>п</w:t>
      </w:r>
      <w:r w:rsidR="00241F2A">
        <w:t>раймеров</w:t>
      </w:r>
      <w:proofErr w:type="spellEnd"/>
      <w:r w:rsidR="00241F2A">
        <w:t xml:space="preserve"> указаны в таблице 1</w:t>
      </w:r>
      <w:r>
        <w:t xml:space="preserve">), 2.5 ед. KAPA-полимеразы, 1 </w:t>
      </w:r>
      <w:proofErr w:type="spellStart"/>
      <w:r>
        <w:t>мкл</w:t>
      </w:r>
      <w:proofErr w:type="spellEnd"/>
      <w:r>
        <w:t xml:space="preserve"> ДНК. </w:t>
      </w:r>
    </w:p>
    <w:p w:rsidR="00241F2A" w:rsidRDefault="00241F2A" w:rsidP="00241F2A"/>
    <w:p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</w:t>
      </w:r>
      <w:r>
        <w:t xml:space="preserve"> проведения ПЦР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Tr="005649BB">
        <w:tc>
          <w:tcPr>
            <w:tcW w:w="3115" w:type="dxa"/>
          </w:tcPr>
          <w:p w:rsidR="005649BB" w:rsidRDefault="005649BB" w:rsidP="009260B3">
            <w:r>
              <w:t>название</w:t>
            </w:r>
          </w:p>
        </w:tc>
        <w:tc>
          <w:tcPr>
            <w:tcW w:w="3115" w:type="dxa"/>
          </w:tcPr>
          <w:p w:rsidR="005649BB" w:rsidRDefault="005649BB" w:rsidP="009260B3">
            <w:proofErr w:type="spellStart"/>
            <w:r>
              <w:t>Последовательноть</w:t>
            </w:r>
            <w:proofErr w:type="spellEnd"/>
            <w:r>
              <w:t xml:space="preserve"> (5’ → 3’)</w:t>
            </w:r>
          </w:p>
        </w:tc>
        <w:tc>
          <w:tcPr>
            <w:tcW w:w="3115" w:type="dxa"/>
          </w:tcPr>
          <w:p w:rsidR="005649BB" w:rsidRDefault="005649BB" w:rsidP="009260B3">
            <w:r>
              <w:t>Размер, п. н.</w:t>
            </w:r>
          </w:p>
        </w:tc>
      </w:tr>
      <w:tr w:rsidR="005649BB" w:rsidTr="005649BB">
        <w:tc>
          <w:tcPr>
            <w:tcW w:w="3115" w:type="dxa"/>
          </w:tcPr>
          <w:p w:rsidR="005649BB" w:rsidRDefault="005649BB" w:rsidP="009260B3">
            <w:r>
              <w:t>mtL13389</w:t>
            </w:r>
          </w:p>
        </w:tc>
        <w:tc>
          <w:tcPr>
            <w:tcW w:w="3115" w:type="dxa"/>
          </w:tcPr>
          <w:p w:rsidR="005649BB" w:rsidRDefault="005649BB" w:rsidP="009260B3">
            <w:r>
              <w:t>TCCATCATCCACAACCTTAAC</w:t>
            </w:r>
          </w:p>
        </w:tc>
        <w:tc>
          <w:tcPr>
            <w:tcW w:w="3115" w:type="dxa"/>
            <w:vMerge w:val="restart"/>
          </w:tcPr>
          <w:p w:rsidR="005649BB" w:rsidRDefault="005649BB" w:rsidP="005649BB">
            <w:pPr>
              <w:jc w:val="center"/>
            </w:pPr>
            <w:r>
              <w:t>1170</w:t>
            </w:r>
          </w:p>
        </w:tc>
      </w:tr>
      <w:tr w:rsidR="005649BB" w:rsidTr="005649BB">
        <w:tc>
          <w:tcPr>
            <w:tcW w:w="3115" w:type="dxa"/>
          </w:tcPr>
          <w:p w:rsidR="005649BB" w:rsidRDefault="005649BB" w:rsidP="009260B3">
            <w:r>
              <w:t>mtH14559</w:t>
            </w:r>
          </w:p>
        </w:tc>
        <w:tc>
          <w:tcPr>
            <w:tcW w:w="3115" w:type="dxa"/>
          </w:tcPr>
          <w:p w:rsidR="005649BB" w:rsidRDefault="005649BB" w:rsidP="009260B3">
            <w:r>
              <w:t>GATTGTTAGCGGTGTGGTCG</w:t>
            </w:r>
          </w:p>
        </w:tc>
        <w:tc>
          <w:tcPr>
            <w:tcW w:w="3115" w:type="dxa"/>
            <w:vMerge/>
          </w:tcPr>
          <w:p w:rsidR="005649BB" w:rsidRDefault="005649BB" w:rsidP="009260B3"/>
        </w:tc>
      </w:tr>
      <w:tr w:rsidR="005649BB" w:rsidTr="005649BB">
        <w:tc>
          <w:tcPr>
            <w:tcW w:w="3115" w:type="dxa"/>
          </w:tcPr>
          <w:p w:rsidR="005649BB" w:rsidRDefault="005649BB" w:rsidP="009260B3">
            <w:r>
              <w:t>mtL5828</w:t>
            </w:r>
          </w:p>
        </w:tc>
        <w:tc>
          <w:tcPr>
            <w:tcW w:w="3115" w:type="dxa"/>
          </w:tcPr>
          <w:p w:rsidR="005649BB" w:rsidRDefault="005649BB" w:rsidP="009260B3">
            <w:r>
              <w:t>GAAAATCACCTCGGAGCTGG</w:t>
            </w:r>
          </w:p>
        </w:tc>
        <w:tc>
          <w:tcPr>
            <w:tcW w:w="3115" w:type="dxa"/>
            <w:vMerge w:val="restart"/>
          </w:tcPr>
          <w:p w:rsidR="005649BB" w:rsidRDefault="0053142B" w:rsidP="0053142B">
            <w:pPr>
              <w:jc w:val="center"/>
            </w:pPr>
            <w:r>
              <w:t>925</w:t>
            </w:r>
          </w:p>
        </w:tc>
      </w:tr>
      <w:tr w:rsidR="005649BB" w:rsidTr="005649BB">
        <w:tc>
          <w:tcPr>
            <w:tcW w:w="3115" w:type="dxa"/>
          </w:tcPr>
          <w:p w:rsidR="005649BB" w:rsidRDefault="005649BB" w:rsidP="009260B3">
            <w:r>
              <w:t>mtH6753</w:t>
            </w:r>
          </w:p>
        </w:tc>
        <w:tc>
          <w:tcPr>
            <w:tcW w:w="3115" w:type="dxa"/>
          </w:tcPr>
          <w:p w:rsidR="005649BB" w:rsidRDefault="0053142B" w:rsidP="009260B3">
            <w:r>
              <w:t>TGTGCTCACACGATAAACCC</w:t>
            </w:r>
          </w:p>
        </w:tc>
        <w:tc>
          <w:tcPr>
            <w:tcW w:w="3115" w:type="dxa"/>
            <w:vMerge/>
          </w:tcPr>
          <w:p w:rsidR="005649BB" w:rsidRDefault="005649BB" w:rsidP="009260B3"/>
        </w:tc>
      </w:tr>
      <w:tr w:rsidR="0053142B" w:rsidTr="005649BB">
        <w:tc>
          <w:tcPr>
            <w:tcW w:w="3115" w:type="dxa"/>
          </w:tcPr>
          <w:p w:rsidR="0053142B" w:rsidRDefault="00241F2A" w:rsidP="009260B3">
            <w:r>
              <w:t>mtL6563</w:t>
            </w:r>
          </w:p>
        </w:tc>
        <w:tc>
          <w:tcPr>
            <w:tcW w:w="3115" w:type="dxa"/>
          </w:tcPr>
          <w:p w:rsidR="0053142B" w:rsidRDefault="00241F2A" w:rsidP="009260B3">
            <w:r>
              <w:t>ACCTCAACACCACCTTCTTC</w:t>
            </w:r>
          </w:p>
        </w:tc>
        <w:tc>
          <w:tcPr>
            <w:tcW w:w="3115" w:type="dxa"/>
            <w:vMerge w:val="restart"/>
          </w:tcPr>
          <w:p w:rsidR="0053142B" w:rsidRDefault="00241F2A" w:rsidP="00241F2A">
            <w:pPr>
              <w:jc w:val="center"/>
            </w:pPr>
            <w:r>
              <w:t>934</w:t>
            </w:r>
          </w:p>
        </w:tc>
      </w:tr>
      <w:tr w:rsidR="0053142B" w:rsidTr="005649BB">
        <w:tc>
          <w:tcPr>
            <w:tcW w:w="3115" w:type="dxa"/>
          </w:tcPr>
          <w:p w:rsidR="0053142B" w:rsidRDefault="00241F2A" w:rsidP="009260B3">
            <w:r>
              <w:t>mtH7497</w:t>
            </w:r>
          </w:p>
        </w:tc>
        <w:tc>
          <w:tcPr>
            <w:tcW w:w="3115" w:type="dxa"/>
          </w:tcPr>
          <w:p w:rsidR="0053142B" w:rsidRDefault="00241F2A" w:rsidP="009260B3">
            <w:r>
              <w:t>TTTGAAAAAGTCATGGAGGCC</w:t>
            </w:r>
          </w:p>
        </w:tc>
        <w:tc>
          <w:tcPr>
            <w:tcW w:w="3115" w:type="dxa"/>
            <w:vMerge/>
          </w:tcPr>
          <w:p w:rsidR="0053142B" w:rsidRDefault="0053142B" w:rsidP="009260B3"/>
        </w:tc>
      </w:tr>
      <w:tr w:rsidR="0053142B" w:rsidTr="005649BB">
        <w:tc>
          <w:tcPr>
            <w:tcW w:w="3115" w:type="dxa"/>
          </w:tcPr>
          <w:p w:rsidR="0053142B" w:rsidRDefault="00241F2A" w:rsidP="009260B3">
            <w:r>
              <w:t>mtL4322</w:t>
            </w:r>
          </w:p>
        </w:tc>
        <w:tc>
          <w:tcPr>
            <w:tcW w:w="3115" w:type="dxa"/>
          </w:tcPr>
          <w:p w:rsidR="0053142B" w:rsidRDefault="00241F2A" w:rsidP="009260B3">
            <w:r>
              <w:t>ATAATAGGAGCTTAAACCCCC</w:t>
            </w:r>
          </w:p>
        </w:tc>
        <w:tc>
          <w:tcPr>
            <w:tcW w:w="3115" w:type="dxa"/>
            <w:vMerge w:val="restart"/>
          </w:tcPr>
          <w:p w:rsidR="0053142B" w:rsidRDefault="00241F2A" w:rsidP="00241F2A">
            <w:pPr>
              <w:jc w:val="center"/>
            </w:pPr>
            <w:r>
              <w:t>871</w:t>
            </w:r>
          </w:p>
        </w:tc>
      </w:tr>
      <w:tr w:rsidR="0053142B" w:rsidTr="005649BB">
        <w:tc>
          <w:tcPr>
            <w:tcW w:w="3115" w:type="dxa"/>
          </w:tcPr>
          <w:p w:rsidR="0053142B" w:rsidRDefault="00241F2A" w:rsidP="009260B3">
            <w:r>
              <w:t>mtH5193</w:t>
            </w:r>
          </w:p>
        </w:tc>
        <w:tc>
          <w:tcPr>
            <w:tcW w:w="3115" w:type="dxa"/>
          </w:tcPr>
          <w:p w:rsidR="0053142B" w:rsidRDefault="00241F2A" w:rsidP="009260B3">
            <w:r>
              <w:t>GTGTTAGTCATGTTAGCTTG</w:t>
            </w:r>
          </w:p>
        </w:tc>
        <w:tc>
          <w:tcPr>
            <w:tcW w:w="3115" w:type="dxa"/>
            <w:vMerge/>
          </w:tcPr>
          <w:p w:rsidR="0053142B" w:rsidRDefault="0053142B" w:rsidP="009260B3"/>
        </w:tc>
      </w:tr>
    </w:tbl>
    <w:p w:rsidR="005649BB" w:rsidRDefault="005649BB" w:rsidP="009260B3"/>
    <w:p w:rsidR="00744065" w:rsidRDefault="00744065" w:rsidP="009260B3"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>
        <w:rPr>
          <w:lang w:val="en-US"/>
        </w:rPr>
        <w:t>BioRad</w:t>
      </w:r>
      <w:proofErr w:type="spellEnd"/>
      <w:r w:rsidR="00A05A5D" w:rsidRPr="00A05A5D">
        <w:t>)</w:t>
      </w:r>
      <w:r w:rsidR="00A05A5D">
        <w:t xml:space="preserve"> со следующим температурным профилем:</w:t>
      </w:r>
    </w:p>
    <w:p w:rsidR="00A05A5D" w:rsidRPr="00A05A5D" w:rsidRDefault="00A05A5D" w:rsidP="009260B3">
      <w:pPr>
        <w:rPr>
          <w:highlight w:val="yellow"/>
        </w:rPr>
      </w:pPr>
      <w:r>
        <w:rPr>
          <w:color w:val="000000"/>
          <w:sz w:val="27"/>
          <w:szCs w:val="27"/>
        </w:rPr>
        <w:t xml:space="preserve"> </w:t>
      </w:r>
      <w:r w:rsidRPr="00A05A5D">
        <w:rPr>
          <w:highlight w:val="yellow"/>
        </w:rPr>
        <w:t>Первичная денатурация – 95 °С – 2 мин</w:t>
      </w:r>
    </w:p>
    <w:p w:rsidR="00A05A5D" w:rsidRPr="00A05A5D" w:rsidRDefault="00A05A5D" w:rsidP="009260B3">
      <w:pPr>
        <w:rPr>
          <w:highlight w:val="yellow"/>
        </w:rPr>
      </w:pPr>
      <w:r w:rsidRPr="00A05A5D">
        <w:rPr>
          <w:highlight w:val="yellow"/>
        </w:rPr>
        <w:t xml:space="preserve"> Цикличная денатурация – 95 °С – 10 сек</w:t>
      </w:r>
    </w:p>
    <w:p w:rsidR="00A05A5D" w:rsidRPr="00A05A5D" w:rsidRDefault="00A05A5D" w:rsidP="009260B3">
      <w:pPr>
        <w:rPr>
          <w:highlight w:val="yellow"/>
        </w:rPr>
      </w:pPr>
      <w:r w:rsidRPr="00A05A5D">
        <w:rPr>
          <w:highlight w:val="yellow"/>
        </w:rPr>
        <w:t xml:space="preserve">Отжиг </w:t>
      </w:r>
      <w:proofErr w:type="spellStart"/>
      <w:r w:rsidRPr="00A05A5D">
        <w:rPr>
          <w:highlight w:val="yellow"/>
        </w:rPr>
        <w:t>праймеров</w:t>
      </w:r>
      <w:proofErr w:type="spellEnd"/>
      <w:r w:rsidRPr="00A05A5D">
        <w:rPr>
          <w:highlight w:val="yellow"/>
        </w:rPr>
        <w:t xml:space="preserve"> – 60 °С – 15 сек</w:t>
      </w:r>
    </w:p>
    <w:p w:rsidR="00A05A5D" w:rsidRPr="00A05A5D" w:rsidRDefault="00A05A5D" w:rsidP="009260B3">
      <w:pPr>
        <w:rPr>
          <w:highlight w:val="yellow"/>
        </w:rPr>
      </w:pPr>
      <w:r w:rsidRPr="00A05A5D">
        <w:rPr>
          <w:highlight w:val="yellow"/>
        </w:rPr>
        <w:t>Элонгация – 72 °С – 40 сек</w:t>
      </w:r>
    </w:p>
    <w:p w:rsidR="00A05A5D" w:rsidRPr="00A05A5D" w:rsidRDefault="00A05A5D" w:rsidP="009260B3">
      <w:pPr>
        <w:rPr>
          <w:highlight w:val="yellow"/>
        </w:rPr>
      </w:pPr>
      <w:r w:rsidRPr="00A05A5D">
        <w:rPr>
          <w:highlight w:val="yellow"/>
        </w:rPr>
        <w:lastRenderedPageBreak/>
        <w:t>Финальная элонгация – 72 °С 2 мин</w:t>
      </w:r>
    </w:p>
    <w:p w:rsidR="00A05A5D" w:rsidRPr="00A05A5D" w:rsidRDefault="00A05A5D" w:rsidP="009260B3">
      <w:r w:rsidRPr="00A05A5D">
        <w:rPr>
          <w:highlight w:val="yellow"/>
        </w:rPr>
        <w:t xml:space="preserve"> Хранение 4 °С - ∞</w:t>
      </w:r>
    </w:p>
    <w:p w:rsidR="00744065" w:rsidRDefault="00744065" w:rsidP="00744065"/>
    <w:p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:rsidR="00744065" w:rsidRDefault="00744065" w:rsidP="009260B3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:rsidR="00744065" w:rsidRDefault="00744065" w:rsidP="00744065"/>
    <w:p w:rsidR="00744065" w:rsidRDefault="00744065" w:rsidP="009260B3">
      <w:pPr>
        <w:pStyle w:val="a3"/>
        <w:numPr>
          <w:ilvl w:val="0"/>
          <w:numId w:val="18"/>
        </w:numPr>
      </w:pPr>
      <w:r>
        <w:t>Определение концентрации ДНК</w:t>
      </w:r>
    </w:p>
    <w:p w:rsidR="00744065" w:rsidRDefault="00744065" w:rsidP="009260B3">
      <w:r>
        <w:t>Измерения концентрации ДНК проводились с помощью спектрофотометра (</w:t>
      </w:r>
      <w:proofErr w:type="spellStart"/>
      <w:r>
        <w:t>NanoDrop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spectrophotometer</w:t>
      </w:r>
      <w:proofErr w:type="spellEnd"/>
      <w:r>
        <w:t xml:space="preserve">). </w:t>
      </w:r>
    </w:p>
    <w:p w:rsidR="00744065" w:rsidRDefault="00744065" w:rsidP="00744065"/>
    <w:p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744065">
        <w:t>нирование</w:t>
      </w:r>
      <w:proofErr w:type="spellEnd"/>
      <w:r w:rsidR="00744065">
        <w:t xml:space="preserve"> проводилось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:rsidR="00744065" w:rsidRDefault="00744065" w:rsidP="00744065"/>
    <w:p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:rsidR="009260B3" w:rsidRDefault="009260B3" w:rsidP="00744065"/>
    <w:p w:rsidR="00744065" w:rsidRDefault="00BC4E96" w:rsidP="00744065">
      <w:r>
        <w:t xml:space="preserve">Оценка сырых коротких прочтения </w:t>
      </w:r>
      <w:proofErr w:type="spellStart"/>
      <w:r>
        <w:t>Illumina</w:t>
      </w:r>
      <w:proofErr w:type="spellEnd"/>
      <w:r>
        <w:t xml:space="preserve"> была </w:t>
      </w:r>
      <w:proofErr w:type="spellStart"/>
      <w:r>
        <w:t>осуществленна</w:t>
      </w:r>
      <w:proofErr w:type="spellEnd"/>
      <w:r>
        <w:t xml:space="preserve"> программой </w:t>
      </w:r>
      <w:proofErr w:type="spellStart"/>
      <w:r>
        <w:rPr>
          <w:lang w:val="en-US"/>
        </w:rPr>
        <w:t>FastQC</w:t>
      </w:r>
      <w:proofErr w:type="spellEnd"/>
      <w:r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картированы</w:t>
      </w:r>
      <w:proofErr w:type="spellEnd"/>
      <w:r w:rsidR="00744065">
        <w:t xml:space="preserve"> на </w:t>
      </w:r>
      <w:proofErr w:type="spellStart"/>
      <w:r w:rsidR="00744065">
        <w:t>референсную</w:t>
      </w:r>
      <w:proofErr w:type="spellEnd"/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:rsidR="001F0E4C" w:rsidRDefault="001F0E4C" w:rsidP="00744065"/>
    <w:p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:rsidR="00D327E4" w:rsidRDefault="00D327E4" w:rsidP="00D327E4">
      <w:r>
        <w:t xml:space="preserve">В ходе проделанной работе, были выделены ДНК, полученные от 25 пациентов,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</w:p>
    <w:p w:rsidR="00D327E4" w:rsidRDefault="00D327E4" w:rsidP="00D327E4">
      <w:r>
        <w:rPr>
          <w:noProof/>
          <w:lang w:eastAsia="ru-RU"/>
        </w:rPr>
        <w:drawing>
          <wp:inline distT="0" distB="0" distL="0" distR="0" wp14:anchorId="7AE84C0B" wp14:editId="3CBA4A11">
            <wp:extent cx="1809190" cy="178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825355" cy="17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7E4" w:rsidRDefault="00D327E4" w:rsidP="00D327E4">
      <w:bookmarkStart w:id="7" w:name="_GoBack"/>
      <w:bookmarkEnd w:id="7"/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:rsidR="00D327E4" w:rsidRPr="00D327E4" w:rsidRDefault="00D327E4" w:rsidP="00D327E4"/>
    <w:p w:rsidR="00744065" w:rsidRDefault="00744065" w:rsidP="00744065"/>
    <w:p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7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18"/>
  </w:num>
  <w:num w:numId="15">
    <w:abstractNumId w:val="15"/>
  </w:num>
  <w:num w:numId="16">
    <w:abstractNumId w:val="7"/>
  </w:num>
  <w:num w:numId="17">
    <w:abstractNumId w:val="2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1F0E4C"/>
    <w:rsid w:val="00241F2A"/>
    <w:rsid w:val="00397EE2"/>
    <w:rsid w:val="0053142B"/>
    <w:rsid w:val="005649BB"/>
    <w:rsid w:val="00681FFB"/>
    <w:rsid w:val="006827A7"/>
    <w:rsid w:val="00744065"/>
    <w:rsid w:val="008B3EC1"/>
    <w:rsid w:val="008D7124"/>
    <w:rsid w:val="009260B3"/>
    <w:rsid w:val="00A05A5D"/>
    <w:rsid w:val="00AD2497"/>
    <w:rsid w:val="00BC4E96"/>
    <w:rsid w:val="00D31FB0"/>
    <w:rsid w:val="00D327E4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574F1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6</cp:revision>
  <dcterms:created xsi:type="dcterms:W3CDTF">2017-10-14T09:18:00Z</dcterms:created>
  <dcterms:modified xsi:type="dcterms:W3CDTF">2017-10-14T14:06:00Z</dcterms:modified>
</cp:coreProperties>
</file>