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E9A7E1" w14:textId="0D59761E" w:rsidR="00BF3B45" w:rsidRPr="00BF3B45" w:rsidRDefault="00BF3B45" w:rsidP="00BF3B45">
      <w:pPr>
        <w:spacing w:before="100" w:beforeAutospacing="1" w:after="100" w:afterAutospacing="1" w:line="360" w:lineRule="auto"/>
        <w:jc w:val="both"/>
        <w:rPr>
          <w:rFonts w:ascii="Times New Roman" w:eastAsia="Times New Roman" w:hAnsi="Times New Roman" w:cs="Times New Roman"/>
          <w:b/>
          <w:bCs/>
          <w:lang w:val="en-US" w:eastAsia="en-GB"/>
        </w:rPr>
      </w:pPr>
      <w:r w:rsidRPr="00BF3B45">
        <w:rPr>
          <w:rFonts w:ascii="Times New Roman" w:eastAsia="Times New Roman" w:hAnsi="Times New Roman" w:cs="Times New Roman"/>
          <w:b/>
          <w:bCs/>
          <w:lang w:val="en-US" w:eastAsia="en-GB"/>
        </w:rPr>
        <w:t>HEALTH INFORMATICS</w:t>
      </w:r>
    </w:p>
    <w:p w14:paraId="727805F2" w14:textId="580F2ACC" w:rsidR="00BF3B45" w:rsidRPr="00BF3B45" w:rsidRDefault="00BF3B45" w:rsidP="00BF3B45">
      <w:pPr>
        <w:spacing w:before="100" w:beforeAutospacing="1" w:after="100" w:afterAutospacing="1" w:line="360" w:lineRule="auto"/>
        <w:jc w:val="both"/>
        <w:rPr>
          <w:rFonts w:ascii="Times New Roman" w:eastAsia="Times New Roman" w:hAnsi="Times New Roman" w:cs="Times New Roman"/>
          <w:lang w:eastAsia="en-GB"/>
        </w:rPr>
      </w:pPr>
      <w:r w:rsidRPr="00BF3B45">
        <w:rPr>
          <w:rFonts w:ascii="Times New Roman" w:eastAsia="Times New Roman" w:hAnsi="Times New Roman" w:cs="Times New Roman"/>
          <w:lang w:eastAsia="en-GB"/>
        </w:rPr>
        <w:t>Health Informatics is an interdisciplinary field that integrates information technology, data science, healthcare management, and clinical practice to improve the delivery, quality, efficiency, and equity of healthcare services. It involves the collection, storage, retrieval, analysis, and use of health data to support decision-making at individual, organizational, and population levels. The social context of health refers to the broader social, economic, cultural, political, and environmental factors that influence health outcomes, including income levels, education, social support systems, geography, and access to healthcare services. Health Informatics operates within this social context, meaning that technological innovations in healthcare do not function in isolation but interact with social structures, inequalities, policies, and cultural practices. Understanding Health Informatics therefore requires analyzing not only technical systems but also how they shape and are shaped by social determinants of health.</w:t>
      </w:r>
    </w:p>
    <w:p w14:paraId="0188FF9E" w14:textId="77777777" w:rsidR="00BF3B45" w:rsidRPr="00BF3B45" w:rsidRDefault="00BF3B45" w:rsidP="00BF3B45">
      <w:pPr>
        <w:spacing w:before="100" w:beforeAutospacing="1" w:after="100" w:afterAutospacing="1" w:line="360" w:lineRule="auto"/>
        <w:jc w:val="both"/>
        <w:rPr>
          <w:rFonts w:ascii="Times New Roman" w:eastAsia="Times New Roman" w:hAnsi="Times New Roman" w:cs="Times New Roman"/>
          <w:lang w:eastAsia="en-GB"/>
        </w:rPr>
      </w:pPr>
      <w:r w:rsidRPr="00BF3B45">
        <w:rPr>
          <w:rFonts w:ascii="Times New Roman" w:eastAsia="Times New Roman" w:hAnsi="Times New Roman" w:cs="Times New Roman"/>
          <w:lang w:eastAsia="en-GB"/>
        </w:rPr>
        <w:t>The role of technology in healthcare has expanded significantly through developments in e-health and telemedicine. E-health refers to the use of digital technologies and internet-based systems to deliver healthcare services, manage patient records, and support health education. It encompasses electronic health records (EHRs), health information systems, mobile health applications (mHealth), health analytics platforms, and patient portals. These systems enhance efficiency by enabling healthcare providers to access patient histories quickly, reduce duplication of tests, improve diagnostic accuracy, and coordinate care across departments and institutions. Telemedicine, a subset of e-health, involves the remote delivery of healthcare services through telecommunications technologies such as video conferencing, remote monitoring devices, and mobile communication platforms. Telemedicine has transformed healthcare accessibility by allowing patients in remote or underserved areas to consult specialists without traveling long distances. It is particularly valuable in managing chronic diseases, mental health conditions, and follow-up consultations. Remote patient monitoring devices can track vital signs in real time, enabling early intervention and reducing hospital readmissions. However, the effectiveness of e-health and telemedicine depends on digital infrastructure, healthcare provider training, patient digital literacy, and supportive regulatory frameworks. While these technologies enhance efficiency and reach, they also shift aspects of care from physical spaces to digital platforms, altering patient-provider relationships and communication dynamics.</w:t>
      </w:r>
    </w:p>
    <w:p w14:paraId="7FC2F6AF" w14:textId="77777777" w:rsidR="00BF3B45" w:rsidRPr="00BF3B45" w:rsidRDefault="00BF3B45" w:rsidP="00BF3B45">
      <w:pPr>
        <w:spacing w:before="100" w:beforeAutospacing="1" w:after="100" w:afterAutospacing="1" w:line="360" w:lineRule="auto"/>
        <w:jc w:val="both"/>
        <w:rPr>
          <w:rFonts w:ascii="Times New Roman" w:eastAsia="Times New Roman" w:hAnsi="Times New Roman" w:cs="Times New Roman"/>
          <w:lang w:eastAsia="en-GB"/>
        </w:rPr>
      </w:pPr>
      <w:r w:rsidRPr="00BF3B45">
        <w:rPr>
          <w:rFonts w:ascii="Times New Roman" w:eastAsia="Times New Roman" w:hAnsi="Times New Roman" w:cs="Times New Roman"/>
          <w:lang w:eastAsia="en-GB"/>
        </w:rPr>
        <w:lastRenderedPageBreak/>
        <w:t>Digital health and patient privacy represent critical intersections between technological innovation and ethical responsibility. Digital health technologies generate vast amounts of sensitive personal data, including medical histories, genetic information, biometric records, and lifestyle patterns. The storage and transmission of this data raise concerns about confidentiality, data breaches, unauthorized access, and misuse. Cybersecurity threats in healthcare systems can compromise patient trust and potentially cause harm if clinical data are altered or exposed. Ensuring patient privacy requires robust data protection measures, including encryption, secure authentication protocols, access controls, and compliance with data protection regulations. Informed consent becomes increasingly complex in digital environments, as patients may not fully understand how their data are collected, shared, or analyzed. The use of big data analytics and artificial intelligence in healthcare further complicates privacy concerns, particularly when anonymized datasets are re-identified or used for secondary purposes such as research or commercial development. Balancing the benefits of data-driven healthcare innovation with the protection of patient rights requires transparent governance frameworks, ethical guidelines, and accountability mechanisms. Maintaining patient trust is fundamental, as trust influences willingness to adopt digital health technologies and share health information.</w:t>
      </w:r>
    </w:p>
    <w:p w14:paraId="757E90CE" w14:textId="77777777" w:rsidR="00BF3B45" w:rsidRPr="00BF3B45" w:rsidRDefault="00BF3B45" w:rsidP="00BF3B45">
      <w:pPr>
        <w:spacing w:before="100" w:beforeAutospacing="1" w:after="100" w:afterAutospacing="1" w:line="360" w:lineRule="auto"/>
        <w:jc w:val="both"/>
        <w:rPr>
          <w:rFonts w:ascii="Times New Roman" w:eastAsia="Times New Roman" w:hAnsi="Times New Roman" w:cs="Times New Roman"/>
          <w:lang w:eastAsia="en-GB"/>
        </w:rPr>
      </w:pPr>
      <w:r w:rsidRPr="00BF3B45">
        <w:rPr>
          <w:rFonts w:ascii="Times New Roman" w:eastAsia="Times New Roman" w:hAnsi="Times New Roman" w:cs="Times New Roman"/>
          <w:lang w:eastAsia="en-GB"/>
        </w:rPr>
        <w:t xml:space="preserve">The impact of health technologies on healthcare access and equity is both transformative and paradoxical. On one hand, digital health technologies have the potential to reduce disparities by expanding access to services in rural, remote, and underserved communities. Telemedicine reduces geographic barriers, while mobile health applications provide health education and monitoring tools to populations with limited physical access to healthcare facilities. Electronic health records improve continuity of care, particularly for patients with complex medical histories who move between providers. Digital platforms can also support public health surveillance and targeted interventions in vulnerable communities. On the other hand, the digital divide poses significant challenges to equitable healthcare access. Individuals without reliable internet connectivity, digital devices, or digital literacy skills may be excluded from telehealth services and online health resources. Socioeconomic status, age, disability, and geographic location influence the ability to benefit from digital health innovations. Older adults, for example, may struggle with technology interfaces, while low-income households may lack broadband access. Additionally, algorithmic bias in health informatics systems can result in unequal treatment recommendations if training data do not adequately represent diverse populations. Health technologies, therefore, can either bridge or widen health disparities depending on implementation strategies and policy interventions. Addressing these </w:t>
      </w:r>
      <w:r w:rsidRPr="00BF3B45">
        <w:rPr>
          <w:rFonts w:ascii="Times New Roman" w:eastAsia="Times New Roman" w:hAnsi="Times New Roman" w:cs="Times New Roman"/>
          <w:lang w:eastAsia="en-GB"/>
        </w:rPr>
        <w:lastRenderedPageBreak/>
        <w:t>challenges requires investment in digital infrastructure, inclusive technology design, community-based digital literacy programs, and equitable policy frameworks.</w:t>
      </w:r>
    </w:p>
    <w:p w14:paraId="13863689" w14:textId="77777777" w:rsidR="00BF3B45" w:rsidRPr="00BF3B45" w:rsidRDefault="00BF3B45" w:rsidP="00BF3B45">
      <w:pPr>
        <w:spacing w:before="100" w:beforeAutospacing="1" w:after="100" w:afterAutospacing="1" w:line="360" w:lineRule="auto"/>
        <w:jc w:val="both"/>
        <w:rPr>
          <w:rFonts w:ascii="Times New Roman" w:eastAsia="Times New Roman" w:hAnsi="Times New Roman" w:cs="Times New Roman"/>
          <w:lang w:eastAsia="en-GB"/>
        </w:rPr>
      </w:pPr>
      <w:r w:rsidRPr="00BF3B45">
        <w:rPr>
          <w:rFonts w:ascii="Times New Roman" w:eastAsia="Times New Roman" w:hAnsi="Times New Roman" w:cs="Times New Roman"/>
          <w:lang w:eastAsia="en-GB"/>
        </w:rPr>
        <w:t>In conclusion, Health Informatics plays a pivotal role in modern healthcare systems by leveraging digital technologies to improve efficiency, coordination, and patient outcomes. However, its effectiveness is deeply embedded within the social context of health, where socioeconomic conditions, cultural norms, and structural inequalities influence access and impact. E-health and telemedicine expand healthcare reach and flexibility but require supportive infrastructure and training. Digital health innovations offer powerful tools for data-driven care while simultaneously raising significant privacy and ethical concerns. The influence of health technologies on access and equity depends largely on how societies address digital divides and ensure inclusive implementation. Ultimately, achieving socially responsible and equitable digital healthcare transformation requires integrating technological innovation with ethical governance, policy support, and a strong commitment to health equity.</w:t>
      </w:r>
    </w:p>
    <w:p w14:paraId="1EE6D773" w14:textId="4F317210" w:rsidR="00BF3B45" w:rsidRPr="00BF3B45" w:rsidRDefault="00BF3B45" w:rsidP="00BF3B45">
      <w:pPr>
        <w:spacing w:line="360" w:lineRule="auto"/>
        <w:rPr>
          <w:rFonts w:ascii="Times New Roman" w:eastAsia="Times New Roman" w:hAnsi="Times New Roman" w:cs="Times New Roman"/>
          <w:b/>
          <w:bCs/>
          <w:lang w:val="en-US" w:eastAsia="en-GB"/>
        </w:rPr>
      </w:pPr>
      <w:r w:rsidRPr="00BF3B45">
        <w:rPr>
          <w:rFonts w:ascii="Times New Roman" w:eastAsia="Times New Roman" w:hAnsi="Times New Roman" w:cs="Times New Roman"/>
          <w:b/>
          <w:bCs/>
          <w:lang w:val="en-US" w:eastAsia="en-GB"/>
        </w:rPr>
        <w:t>Questions and Answers</w:t>
      </w:r>
    </w:p>
    <w:p w14:paraId="23E63BCA" w14:textId="77777777" w:rsidR="00BF3B45" w:rsidRDefault="00BF3B45" w:rsidP="00BF3B45">
      <w:pPr>
        <w:numPr>
          <w:ilvl w:val="0"/>
          <w:numId w:val="1"/>
        </w:numPr>
        <w:spacing w:before="100" w:beforeAutospacing="1" w:after="100" w:afterAutospacing="1" w:line="360" w:lineRule="auto"/>
        <w:rPr>
          <w:rFonts w:ascii="Times New Roman" w:eastAsia="Times New Roman" w:hAnsi="Times New Roman" w:cs="Times New Roman"/>
          <w:lang w:eastAsia="en-GB"/>
        </w:rPr>
      </w:pPr>
      <w:r w:rsidRPr="00BF3B45">
        <w:rPr>
          <w:rFonts w:ascii="Times New Roman" w:eastAsia="Times New Roman" w:hAnsi="Times New Roman" w:cs="Times New Roman"/>
          <w:b/>
          <w:bCs/>
          <w:lang w:eastAsia="en-GB"/>
        </w:rPr>
        <w:t>How can policymakers ensure that the expansion of e-health and telemedicine improves healthcare delivery without weakening the quality of patient–provider relationships?</w:t>
      </w:r>
    </w:p>
    <w:p w14:paraId="18E41AAA" w14:textId="36C7A3DE" w:rsidR="00BF3B45" w:rsidRPr="00BF3B45" w:rsidRDefault="00BF3B45" w:rsidP="00BF3B45">
      <w:pPr>
        <w:spacing w:before="100" w:beforeAutospacing="1" w:after="100" w:afterAutospacing="1" w:line="360" w:lineRule="auto"/>
        <w:ind w:left="720"/>
        <w:jc w:val="both"/>
        <w:rPr>
          <w:rFonts w:ascii="Times New Roman" w:eastAsia="Times New Roman" w:hAnsi="Times New Roman" w:cs="Times New Roman"/>
          <w:lang w:eastAsia="en-GB"/>
        </w:rPr>
      </w:pPr>
      <w:r w:rsidRPr="00BF3B45">
        <w:rPr>
          <w:rFonts w:ascii="Times New Roman" w:eastAsia="Times New Roman" w:hAnsi="Times New Roman" w:cs="Times New Roman"/>
          <w:lang w:eastAsia="en-GB"/>
        </w:rPr>
        <w:br/>
      </w:r>
      <w:r w:rsidRPr="00BF3B45">
        <w:rPr>
          <w:rFonts w:ascii="Times New Roman" w:eastAsia="Times New Roman" w:hAnsi="Times New Roman" w:cs="Times New Roman"/>
          <w:b/>
          <w:bCs/>
          <w:lang w:eastAsia="en-GB"/>
        </w:rPr>
        <w:t>Answer</w:t>
      </w:r>
      <w:r w:rsidRPr="00BF3B45">
        <w:rPr>
          <w:rFonts w:ascii="Times New Roman" w:eastAsia="Times New Roman" w:hAnsi="Times New Roman" w:cs="Times New Roman"/>
          <w:lang w:eastAsia="en-GB"/>
        </w:rPr>
        <w:t>: Policymakers can ensure quality care by promoting hybrid healthcare models that combine digital services with in-person consultations where necessary. Regulations should establish clear clinical guidelines outlining which conditions are appropriate for telemedicine and which require physical examination. Training programs must equip healthcare professionals with digital communication skills to maintain empathy, clarity, and patient engagement in virtual settings. Additionally, reimbursement policies should recognize telemedicine services as equivalent in value to in-person visits where clinically appropriate, encouraging providers to adopt technology responsibly rather than as a cost-cutting substitute. Continuous monitoring of patient satisfaction, clinical outcomes, and service accessibility can help assess whether digital health integration strengthens or weakens care relationships. By prioritizing patient-centered design and maintaining opportunities for human interaction, telemedicine can enhance rather than diminish therapeutic relationships.</w:t>
      </w:r>
    </w:p>
    <w:p w14:paraId="6ED46C04" w14:textId="77777777" w:rsidR="00BF3B45" w:rsidRPr="00BF3B45" w:rsidRDefault="00BF3B45" w:rsidP="00BF3B45">
      <w:pPr>
        <w:numPr>
          <w:ilvl w:val="0"/>
          <w:numId w:val="1"/>
        </w:numPr>
        <w:spacing w:before="100" w:beforeAutospacing="1" w:after="100" w:afterAutospacing="1" w:line="360" w:lineRule="auto"/>
        <w:rPr>
          <w:rFonts w:ascii="Times New Roman" w:eastAsia="Times New Roman" w:hAnsi="Times New Roman" w:cs="Times New Roman"/>
          <w:b/>
          <w:bCs/>
          <w:lang w:eastAsia="en-GB"/>
        </w:rPr>
      </w:pPr>
      <w:r w:rsidRPr="00BF3B45">
        <w:rPr>
          <w:rFonts w:ascii="Times New Roman" w:eastAsia="Times New Roman" w:hAnsi="Times New Roman" w:cs="Times New Roman"/>
          <w:b/>
          <w:bCs/>
          <w:lang w:eastAsia="en-GB"/>
        </w:rPr>
        <w:lastRenderedPageBreak/>
        <w:t>In what ways can healthcare institutions balance the use of big data and artificial intelligence in health informatics with the protection of patient privacy?</w:t>
      </w:r>
    </w:p>
    <w:p w14:paraId="01DFB4F8" w14:textId="6640B8A8" w:rsidR="00BF3B45" w:rsidRPr="00BF3B45" w:rsidRDefault="00BF3B45" w:rsidP="00BF3B45">
      <w:pPr>
        <w:spacing w:before="100" w:beforeAutospacing="1" w:after="100" w:afterAutospacing="1" w:line="360" w:lineRule="auto"/>
        <w:ind w:left="720"/>
        <w:jc w:val="both"/>
        <w:rPr>
          <w:rFonts w:ascii="Times New Roman" w:eastAsia="Times New Roman" w:hAnsi="Times New Roman" w:cs="Times New Roman"/>
          <w:lang w:eastAsia="en-GB"/>
        </w:rPr>
      </w:pPr>
      <w:r w:rsidRPr="00BF3B45">
        <w:rPr>
          <w:rFonts w:ascii="Times New Roman" w:eastAsia="Times New Roman" w:hAnsi="Times New Roman" w:cs="Times New Roman"/>
          <w:b/>
          <w:bCs/>
          <w:lang w:eastAsia="en-GB"/>
        </w:rPr>
        <w:t>Answer</w:t>
      </w:r>
      <w:r w:rsidRPr="00BF3B45">
        <w:rPr>
          <w:rFonts w:ascii="Times New Roman" w:eastAsia="Times New Roman" w:hAnsi="Times New Roman" w:cs="Times New Roman"/>
          <w:lang w:eastAsia="en-GB"/>
        </w:rPr>
        <w:t>: Healthcare institutions can balance innovation and privacy by implementing privacy-by-design principles in digital system development. This includes strong encryption standards, multi-factor authentication, regular cybersecurity audits, and strict access controls that limit data exposure to authorized personnel only. Transparent data governance policies should clearly explain how patient data are collected, stored, shared, and used for research or analytics. Informed consent processes must be simplified and made understandable, ensuring patients are aware of their rights and data usage options. De-identification and anonymization techniques should be rigorously applied, with safeguards against re-identification risks. Institutions should also establish ethics committees and data oversight boards to evaluate emerging AI applications before deployment. By embedding ethical and technical safeguards into the lifecycle of digital health systems, institutions can foster trust while leveraging data-driven insights for improved healthcare outcomes.</w:t>
      </w:r>
    </w:p>
    <w:p w14:paraId="785F4217" w14:textId="77777777" w:rsidR="00BF3B45" w:rsidRPr="00BF3B45" w:rsidRDefault="00BF3B45" w:rsidP="00BF3B45">
      <w:pPr>
        <w:numPr>
          <w:ilvl w:val="0"/>
          <w:numId w:val="1"/>
        </w:numPr>
        <w:spacing w:before="100" w:beforeAutospacing="1" w:after="100" w:afterAutospacing="1" w:line="360" w:lineRule="auto"/>
        <w:rPr>
          <w:rFonts w:ascii="Times New Roman" w:eastAsia="Times New Roman" w:hAnsi="Times New Roman" w:cs="Times New Roman"/>
          <w:lang w:eastAsia="en-GB"/>
        </w:rPr>
      </w:pPr>
      <w:r w:rsidRPr="00BF3B45">
        <w:rPr>
          <w:rFonts w:ascii="Times New Roman" w:eastAsia="Times New Roman" w:hAnsi="Times New Roman" w:cs="Times New Roman"/>
          <w:b/>
          <w:bCs/>
          <w:lang w:eastAsia="en-GB"/>
        </w:rPr>
        <w:t>How might digital health technologies unintentionally reinforce existing health inequities, and what strategies can mitigate this risk?</w:t>
      </w:r>
    </w:p>
    <w:p w14:paraId="7E2E2CF6" w14:textId="5BF8F1C0" w:rsidR="00BF3B45" w:rsidRPr="00BF3B45" w:rsidRDefault="00BF3B45" w:rsidP="00BF3B45">
      <w:pPr>
        <w:spacing w:before="100" w:beforeAutospacing="1" w:after="100" w:afterAutospacing="1" w:line="360" w:lineRule="auto"/>
        <w:ind w:left="720"/>
        <w:jc w:val="both"/>
        <w:rPr>
          <w:rFonts w:ascii="Times New Roman" w:eastAsia="Times New Roman" w:hAnsi="Times New Roman" w:cs="Times New Roman"/>
          <w:lang w:eastAsia="en-GB"/>
        </w:rPr>
      </w:pPr>
      <w:r w:rsidRPr="00BF3B45">
        <w:rPr>
          <w:rFonts w:ascii="Times New Roman" w:eastAsia="Times New Roman" w:hAnsi="Times New Roman" w:cs="Times New Roman"/>
          <w:b/>
          <w:bCs/>
          <w:lang w:eastAsia="en-GB"/>
        </w:rPr>
        <w:br/>
        <w:t xml:space="preserve">Answer: </w:t>
      </w:r>
      <w:r w:rsidRPr="00BF3B45">
        <w:rPr>
          <w:rFonts w:ascii="Times New Roman" w:eastAsia="Times New Roman" w:hAnsi="Times New Roman" w:cs="Times New Roman"/>
          <w:lang w:eastAsia="en-GB"/>
        </w:rPr>
        <w:t>Digital health technologies may reinforce inequities if access to devices, internet connectivity, or digital literacy is unevenly distributed. Populations in rural or low-income communities may lack broadband access, while older adults or individuals with disabilities may struggle with complex interfaces. Algorithmic bias may also lead to unequal treatment recommendations if datasets underrepresent certain ethnic or socioeconomic groups. To mitigate these risks, governments should invest in universal broadband infrastructure and subsidized digital devices for vulnerable populations. Health technologies should be designed using inclusive design principles, ensuring accessibility features such as language options, audio guidance, and simplified interfaces. Training programs can enhance digital literacy among patients and healthcare providers. Additionally, developers must use diverse datasets and conduct bias audits to ensure fairness in AI-driven decision systems. A proactive equity-focused strategy ensures that digital health innovations reduce, rather than amplify, disparities.</w:t>
      </w:r>
    </w:p>
    <w:p w14:paraId="7513C120" w14:textId="77777777" w:rsidR="00BF3B45" w:rsidRPr="00BF3B45" w:rsidRDefault="00BF3B45" w:rsidP="00BF3B45">
      <w:pPr>
        <w:numPr>
          <w:ilvl w:val="0"/>
          <w:numId w:val="1"/>
        </w:numPr>
        <w:spacing w:before="100" w:beforeAutospacing="1" w:after="100" w:afterAutospacing="1" w:line="360" w:lineRule="auto"/>
        <w:rPr>
          <w:rFonts w:ascii="Times New Roman" w:eastAsia="Times New Roman" w:hAnsi="Times New Roman" w:cs="Times New Roman"/>
          <w:lang w:eastAsia="en-GB"/>
        </w:rPr>
      </w:pPr>
      <w:r w:rsidRPr="00BF3B45">
        <w:rPr>
          <w:rFonts w:ascii="Times New Roman" w:eastAsia="Times New Roman" w:hAnsi="Times New Roman" w:cs="Times New Roman"/>
          <w:b/>
          <w:bCs/>
          <w:lang w:eastAsia="en-GB"/>
        </w:rPr>
        <w:lastRenderedPageBreak/>
        <w:t>To what extent can health informatics contribute to addressing broader social determinants of health?</w:t>
      </w:r>
    </w:p>
    <w:p w14:paraId="4C7FD347" w14:textId="79776968" w:rsidR="00BF3B45" w:rsidRPr="00BF3B45" w:rsidRDefault="00BF3B45" w:rsidP="00BF3B45">
      <w:pPr>
        <w:spacing w:before="100" w:beforeAutospacing="1" w:after="100" w:afterAutospacing="1" w:line="360" w:lineRule="auto"/>
        <w:ind w:left="360"/>
        <w:jc w:val="both"/>
        <w:rPr>
          <w:rFonts w:ascii="Times New Roman" w:eastAsia="Times New Roman" w:hAnsi="Times New Roman" w:cs="Times New Roman"/>
          <w:lang w:eastAsia="en-GB"/>
        </w:rPr>
      </w:pPr>
      <w:r w:rsidRPr="00BF3B45">
        <w:rPr>
          <w:rFonts w:ascii="Times New Roman" w:eastAsia="Times New Roman" w:hAnsi="Times New Roman" w:cs="Times New Roman"/>
          <w:b/>
          <w:bCs/>
          <w:lang w:eastAsia="en-GB"/>
        </w:rPr>
        <w:br/>
        <w:t>Answer</w:t>
      </w:r>
      <w:r w:rsidRPr="00BF3B45">
        <w:rPr>
          <w:rFonts w:ascii="Times New Roman" w:eastAsia="Times New Roman" w:hAnsi="Times New Roman" w:cs="Times New Roman"/>
          <w:lang w:eastAsia="en-GB"/>
        </w:rPr>
        <w:t>: Health informatics can significantly contribute to addressing social determinants of health by integrating clinical data with social and environmental data to provide a more holistic understanding of patient well-being. For example, health information systems can incorporate data on housing conditions, employment status, food security, and access to transportation, enabling healthcare providers to identify non-medical factors influencing patient health. Predictive analytics can help public health agencies detect patterns of disease linked to socioeconomic disadvantage and design targeted interventions. Community health dashboards can support resource allocation decisions based on real-time data. However, achieving this integration requires intersectoral collaboration among healthcare providers, social services, policymakers, and community organizations. Ethical safeguards must also ensure that such data integration does not stigmatize or discriminate against vulnerable populations. When responsibly implemented, health informatics can move healthcare systems from reactive treatment models toward proactive, preventive, and socially responsive care.</w:t>
      </w:r>
    </w:p>
    <w:p w14:paraId="129C35C0" w14:textId="77777777" w:rsidR="00841FC7" w:rsidRDefault="00841FC7" w:rsidP="00BF3B45">
      <w:pPr>
        <w:spacing w:line="360" w:lineRule="auto"/>
      </w:pPr>
    </w:p>
    <w:sectPr w:rsidR="00841FC7" w:rsidSect="00865AB5">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3F372A0"/>
    <w:multiLevelType w:val="multilevel"/>
    <w:tmpl w:val="5A828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2"/>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B45"/>
    <w:rsid w:val="00841FC7"/>
    <w:rsid w:val="00865AB5"/>
    <w:rsid w:val="00BF3B45"/>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30431"/>
  <w15:chartTrackingRefBased/>
  <w15:docId w15:val="{E1F71A17-0784-DA4A-A527-189E78585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F3B45"/>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64862265">
      <w:bodyDiv w:val="1"/>
      <w:marLeft w:val="0"/>
      <w:marRight w:val="0"/>
      <w:marTop w:val="0"/>
      <w:marBottom w:val="0"/>
      <w:divBdr>
        <w:top w:val="none" w:sz="0" w:space="0" w:color="auto"/>
        <w:left w:val="none" w:sz="0" w:space="0" w:color="auto"/>
        <w:bottom w:val="none" w:sz="0" w:space="0" w:color="auto"/>
        <w:right w:val="none" w:sz="0" w:space="0" w:color="auto"/>
      </w:divBdr>
      <w:divsChild>
        <w:div w:id="109865933">
          <w:marLeft w:val="0"/>
          <w:marRight w:val="0"/>
          <w:marTop w:val="0"/>
          <w:marBottom w:val="0"/>
          <w:divBdr>
            <w:top w:val="none" w:sz="0" w:space="0" w:color="auto"/>
            <w:left w:val="none" w:sz="0" w:space="0" w:color="auto"/>
            <w:bottom w:val="none" w:sz="0" w:space="0" w:color="auto"/>
            <w:right w:val="none" w:sz="0" w:space="0" w:color="auto"/>
          </w:divBdr>
          <w:divsChild>
            <w:div w:id="564797399">
              <w:marLeft w:val="0"/>
              <w:marRight w:val="0"/>
              <w:marTop w:val="0"/>
              <w:marBottom w:val="0"/>
              <w:divBdr>
                <w:top w:val="none" w:sz="0" w:space="0" w:color="auto"/>
                <w:left w:val="none" w:sz="0" w:space="0" w:color="auto"/>
                <w:bottom w:val="none" w:sz="0" w:space="0" w:color="auto"/>
                <w:right w:val="none" w:sz="0" w:space="0" w:color="auto"/>
              </w:divBdr>
              <w:divsChild>
                <w:div w:id="836071396">
                  <w:marLeft w:val="0"/>
                  <w:marRight w:val="0"/>
                  <w:marTop w:val="0"/>
                  <w:marBottom w:val="0"/>
                  <w:divBdr>
                    <w:top w:val="none" w:sz="0" w:space="0" w:color="auto"/>
                    <w:left w:val="none" w:sz="0" w:space="0" w:color="auto"/>
                    <w:bottom w:val="none" w:sz="0" w:space="0" w:color="auto"/>
                    <w:right w:val="none" w:sz="0" w:space="0" w:color="auto"/>
                  </w:divBdr>
                  <w:divsChild>
                    <w:div w:id="340816188">
                      <w:marLeft w:val="0"/>
                      <w:marRight w:val="0"/>
                      <w:marTop w:val="0"/>
                      <w:marBottom w:val="0"/>
                      <w:divBdr>
                        <w:top w:val="none" w:sz="0" w:space="0" w:color="auto"/>
                        <w:left w:val="none" w:sz="0" w:space="0" w:color="auto"/>
                        <w:bottom w:val="none" w:sz="0" w:space="0" w:color="auto"/>
                        <w:right w:val="none" w:sz="0" w:space="0" w:color="auto"/>
                      </w:divBdr>
                      <w:divsChild>
                        <w:div w:id="2114665874">
                          <w:marLeft w:val="0"/>
                          <w:marRight w:val="0"/>
                          <w:marTop w:val="0"/>
                          <w:marBottom w:val="0"/>
                          <w:divBdr>
                            <w:top w:val="none" w:sz="0" w:space="0" w:color="auto"/>
                            <w:left w:val="none" w:sz="0" w:space="0" w:color="auto"/>
                            <w:bottom w:val="none" w:sz="0" w:space="0" w:color="auto"/>
                            <w:right w:val="none" w:sz="0" w:space="0" w:color="auto"/>
                          </w:divBdr>
                          <w:divsChild>
                            <w:div w:id="203279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6825963">
          <w:marLeft w:val="0"/>
          <w:marRight w:val="0"/>
          <w:marTop w:val="0"/>
          <w:marBottom w:val="0"/>
          <w:divBdr>
            <w:top w:val="none" w:sz="0" w:space="0" w:color="auto"/>
            <w:left w:val="none" w:sz="0" w:space="0" w:color="auto"/>
            <w:bottom w:val="none" w:sz="0" w:space="0" w:color="auto"/>
            <w:right w:val="none" w:sz="0" w:space="0" w:color="auto"/>
          </w:divBdr>
          <w:divsChild>
            <w:div w:id="900553439">
              <w:marLeft w:val="0"/>
              <w:marRight w:val="0"/>
              <w:marTop w:val="0"/>
              <w:marBottom w:val="0"/>
              <w:divBdr>
                <w:top w:val="none" w:sz="0" w:space="0" w:color="auto"/>
                <w:left w:val="none" w:sz="0" w:space="0" w:color="auto"/>
                <w:bottom w:val="none" w:sz="0" w:space="0" w:color="auto"/>
                <w:right w:val="none" w:sz="0" w:space="0" w:color="auto"/>
              </w:divBdr>
              <w:divsChild>
                <w:div w:id="285620956">
                  <w:marLeft w:val="0"/>
                  <w:marRight w:val="0"/>
                  <w:marTop w:val="0"/>
                  <w:marBottom w:val="0"/>
                  <w:divBdr>
                    <w:top w:val="none" w:sz="0" w:space="0" w:color="auto"/>
                    <w:left w:val="none" w:sz="0" w:space="0" w:color="auto"/>
                    <w:bottom w:val="none" w:sz="0" w:space="0" w:color="auto"/>
                    <w:right w:val="none" w:sz="0" w:space="0" w:color="auto"/>
                  </w:divBdr>
                  <w:divsChild>
                    <w:div w:id="506333679">
                      <w:marLeft w:val="0"/>
                      <w:marRight w:val="0"/>
                      <w:marTop w:val="0"/>
                      <w:marBottom w:val="0"/>
                      <w:divBdr>
                        <w:top w:val="none" w:sz="0" w:space="0" w:color="auto"/>
                        <w:left w:val="none" w:sz="0" w:space="0" w:color="auto"/>
                        <w:bottom w:val="none" w:sz="0" w:space="0" w:color="auto"/>
                        <w:right w:val="none" w:sz="0" w:space="0" w:color="auto"/>
                      </w:divBdr>
                      <w:divsChild>
                        <w:div w:id="1263953714">
                          <w:marLeft w:val="0"/>
                          <w:marRight w:val="0"/>
                          <w:marTop w:val="0"/>
                          <w:marBottom w:val="0"/>
                          <w:divBdr>
                            <w:top w:val="none" w:sz="0" w:space="0" w:color="auto"/>
                            <w:left w:val="none" w:sz="0" w:space="0" w:color="auto"/>
                            <w:bottom w:val="none" w:sz="0" w:space="0" w:color="auto"/>
                            <w:right w:val="none" w:sz="0" w:space="0" w:color="auto"/>
                          </w:divBdr>
                          <w:divsChild>
                            <w:div w:id="503862817">
                              <w:marLeft w:val="0"/>
                              <w:marRight w:val="0"/>
                              <w:marTop w:val="0"/>
                              <w:marBottom w:val="0"/>
                              <w:divBdr>
                                <w:top w:val="none" w:sz="0" w:space="0" w:color="auto"/>
                                <w:left w:val="none" w:sz="0" w:space="0" w:color="auto"/>
                                <w:bottom w:val="none" w:sz="0" w:space="0" w:color="auto"/>
                                <w:right w:val="none" w:sz="0" w:space="0" w:color="auto"/>
                              </w:divBdr>
                              <w:divsChild>
                                <w:div w:id="86078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6158278">
          <w:marLeft w:val="0"/>
          <w:marRight w:val="0"/>
          <w:marTop w:val="0"/>
          <w:marBottom w:val="0"/>
          <w:divBdr>
            <w:top w:val="none" w:sz="0" w:space="0" w:color="auto"/>
            <w:left w:val="none" w:sz="0" w:space="0" w:color="auto"/>
            <w:bottom w:val="none" w:sz="0" w:space="0" w:color="auto"/>
            <w:right w:val="none" w:sz="0" w:space="0" w:color="auto"/>
          </w:divBdr>
          <w:divsChild>
            <w:div w:id="2012487988">
              <w:marLeft w:val="0"/>
              <w:marRight w:val="0"/>
              <w:marTop w:val="0"/>
              <w:marBottom w:val="0"/>
              <w:divBdr>
                <w:top w:val="none" w:sz="0" w:space="0" w:color="auto"/>
                <w:left w:val="none" w:sz="0" w:space="0" w:color="auto"/>
                <w:bottom w:val="none" w:sz="0" w:space="0" w:color="auto"/>
                <w:right w:val="none" w:sz="0" w:space="0" w:color="auto"/>
              </w:divBdr>
              <w:divsChild>
                <w:div w:id="801389225">
                  <w:marLeft w:val="0"/>
                  <w:marRight w:val="0"/>
                  <w:marTop w:val="0"/>
                  <w:marBottom w:val="0"/>
                  <w:divBdr>
                    <w:top w:val="none" w:sz="0" w:space="0" w:color="auto"/>
                    <w:left w:val="none" w:sz="0" w:space="0" w:color="auto"/>
                    <w:bottom w:val="none" w:sz="0" w:space="0" w:color="auto"/>
                    <w:right w:val="none" w:sz="0" w:space="0" w:color="auto"/>
                  </w:divBdr>
                  <w:divsChild>
                    <w:div w:id="1363633384">
                      <w:marLeft w:val="0"/>
                      <w:marRight w:val="0"/>
                      <w:marTop w:val="0"/>
                      <w:marBottom w:val="0"/>
                      <w:divBdr>
                        <w:top w:val="none" w:sz="0" w:space="0" w:color="auto"/>
                        <w:left w:val="none" w:sz="0" w:space="0" w:color="auto"/>
                        <w:bottom w:val="none" w:sz="0" w:space="0" w:color="auto"/>
                        <w:right w:val="none" w:sz="0" w:space="0" w:color="auto"/>
                      </w:divBdr>
                      <w:divsChild>
                        <w:div w:id="391778230">
                          <w:marLeft w:val="0"/>
                          <w:marRight w:val="0"/>
                          <w:marTop w:val="0"/>
                          <w:marBottom w:val="0"/>
                          <w:divBdr>
                            <w:top w:val="none" w:sz="0" w:space="0" w:color="auto"/>
                            <w:left w:val="none" w:sz="0" w:space="0" w:color="auto"/>
                            <w:bottom w:val="none" w:sz="0" w:space="0" w:color="auto"/>
                            <w:right w:val="none" w:sz="0" w:space="0" w:color="auto"/>
                          </w:divBdr>
                          <w:divsChild>
                            <w:div w:id="111879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1782</Words>
  <Characters>10163</Characters>
  <Application>Microsoft Office Word</Application>
  <DocSecurity>0</DocSecurity>
  <Lines>84</Lines>
  <Paragraphs>23</Paragraphs>
  <ScaleCrop>false</ScaleCrop>
  <Company/>
  <LinksUpToDate>false</LinksUpToDate>
  <CharactersWithSpaces>11922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2026-03-03T05:40:00Z</dcterms:created>
  <dcterms:modified xsi:type="dcterms:W3CDTF">2026-03-03T05:46:00Z</dcterms:modified>
</cp:coreProperties>
</file>