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AE997F" w14:textId="77777777" w:rsidR="00084B23" w:rsidRDefault="00084B23" w:rsidP="00084B23">
      <w:pPr>
        <w:rPr>
          <w:rFonts w:ascii="Times New Roman" w:eastAsia="Times New Roman" w:hAnsi="Times New Roman" w:cs="Times New Roman"/>
          <w:b/>
          <w:bCs/>
          <w:sz w:val="28"/>
          <w:szCs w:val="28"/>
          <w:lang w:eastAsia="en-GB"/>
        </w:rPr>
      </w:pPr>
    </w:p>
    <w:p w14:paraId="273CE854" w14:textId="09483890" w:rsidR="00084B23" w:rsidRPr="00084B23" w:rsidRDefault="00084B23" w:rsidP="00084B23">
      <w:pPr>
        <w:rPr>
          <w:rFonts w:ascii="Times New Roman" w:eastAsia="Times New Roman" w:hAnsi="Times New Roman" w:cs="Times New Roman"/>
          <w:b/>
          <w:bCs/>
          <w:sz w:val="28"/>
          <w:szCs w:val="28"/>
          <w:lang w:eastAsia="en-GB"/>
        </w:rPr>
      </w:pPr>
      <w:r w:rsidRPr="00084B23">
        <w:rPr>
          <w:rFonts w:ascii="Times New Roman" w:eastAsia="Times New Roman" w:hAnsi="Times New Roman" w:cs="Times New Roman"/>
          <w:b/>
          <w:bCs/>
          <w:sz w:val="28"/>
          <w:szCs w:val="28"/>
          <w:lang w:eastAsia="en-GB"/>
        </w:rPr>
        <w:t>SOCIAL IMPACTS OF EMERGING TECHNOLOGIES</w:t>
      </w:r>
    </w:p>
    <w:p w14:paraId="3C869A85" w14:textId="4C59AC89" w:rsidR="00E5732D" w:rsidRDefault="00E5732D" w:rsidP="00084B23">
      <w:pPr>
        <w:pStyle w:val="NormalWeb"/>
        <w:spacing w:line="360" w:lineRule="auto"/>
        <w:jc w:val="both"/>
      </w:pPr>
      <w:r>
        <w:t>Emerging technologies are profoundly transforming contemporary societies by reshaping communication patterns, economic systems, governance structures, cultural norms, and human identity. These technologies are not merely technical tools but socio-technical systems embedded within social institutions, influencing power relations, access to resources, and patterns of inclusion and exclusion. The social impacts of emerging technologies are complex and multidimensional, producing both opportunities for advancement and risks of disruption. Understanding these impacts requires examining how technologies such as Artificial Intelligence (AI), Virtual Reality (VR), Augmented Reality (AR), automation, and robotics interact with social systems, and how ethical frameworks can guide their responsible integration into society.</w:t>
      </w:r>
    </w:p>
    <w:p w14:paraId="12E2BDAE" w14:textId="77777777" w:rsidR="00E5732D" w:rsidRDefault="00E5732D" w:rsidP="00084B23">
      <w:pPr>
        <w:pStyle w:val="NormalWeb"/>
        <w:spacing w:line="360" w:lineRule="auto"/>
        <w:jc w:val="both"/>
      </w:pPr>
      <w:r>
        <w:t>Artificial Intelligence (AI) has become a central driver of digital transformation, influencing sectors such as healthcare, education, finance, governance, transportation, and security. AI systems enhance efficiency by automating data analysis, enabling predictive modeling, and supporting decision-making processes. In healthcare, AI improves diagnostic accuracy and personalized treatment planning; in education, adaptive learning systems personalize instruction; in public administration, AI enhances service delivery and fraud detection. However, AI’s societal implications extend beyond efficiency gains. One major concern is algorithmic bias, which occurs when AI systems trained on biased data replicate or amplify social inequalities related to race, gender, socioeconomic status, or geography. Such biases can affect recruitment systems, credit approvals, predictive policing, and judicial sentencing. Additionally, AI-driven surveillance technologies raise privacy concerns, as facial recognition and data tracking systems may infringe on civil liberties when implemented without proper safeguards. The concentration of AI development within a small number of global corporations also risks increasing digital inequality and economic concentration of power. Furthermore, AI challenges traditional notions of accountability, as it becomes difficult to determine responsibility when autonomous systems make consequential decisions. These dynamics necessitate governance frameworks that promote transparency, fairness, and human oversight while supporting innovation.</w:t>
      </w:r>
    </w:p>
    <w:p w14:paraId="1F937C21" w14:textId="77777777" w:rsidR="00E5732D" w:rsidRDefault="00E5732D" w:rsidP="00084B23">
      <w:pPr>
        <w:pStyle w:val="NormalWeb"/>
        <w:spacing w:line="360" w:lineRule="auto"/>
        <w:jc w:val="both"/>
      </w:pPr>
      <w:r>
        <w:t xml:space="preserve">Virtual Reality (VR) and Augmented Reality (AR) technologies are reshaping social interaction by merging physical and digital environments. VR creates immersive digital spaces </w:t>
      </w:r>
      <w:r>
        <w:lastRenderedPageBreak/>
        <w:t>that simulate real-world or imagined environments, while AR overlays digital information onto the physical world. In educational contexts, VR enhances experiential learning by allowing students to participate in simulated laboratory experiments, historical reconstructions, and virtual field trips. In healthcare, VR is used for rehabilitation, surgical training, and mental health therapies such as exposure therapy for phobias and post-traumatic stress disorder. AR supports navigation, remote collaboration, and interactive consumer experiences. Socially, these technologies facilitate global connectivity, enabling individuals to engage in shared digital spaces regardless of geographic location. However, prolonged immersion in virtual environments may alter social behavior, identity formation, and interpersonal relationships. The use of customizable avatars allows individuals to experiment with identity, which may promote self-expression but also create challenges related to authenticity and psychological well-being. Issues such as cyber harassment, digital addiction, and social isolation may intensify in immersive environments. Moreover, unequal access to VR/AR technologies may widen digital divides, limiting participation in emerging digital economies and communities. As immersive technologies become more integrated into daily life, societies must consider how they influence cultural norms, empathy development, and the boundaries between reality and simulation.</w:t>
      </w:r>
    </w:p>
    <w:p w14:paraId="780DAF23" w14:textId="77777777" w:rsidR="00E5732D" w:rsidRDefault="00E5732D" w:rsidP="00084B23">
      <w:pPr>
        <w:pStyle w:val="NormalWeb"/>
        <w:spacing w:line="360" w:lineRule="auto"/>
        <w:jc w:val="both"/>
      </w:pPr>
      <w:r>
        <w:t xml:space="preserve">Automation and robotics are significantly transforming the future of work and economic organization. Robotics enhances productivity in manufacturing, logistics, agriculture, and healthcare support, while robotic process automation streamlines administrative and clerical tasks. Automation increases efficiency, reduces operational costs, and improves precision, contributing to economic growth. However, these gains are accompanied by structural labor market shifts. Routine manual and cognitive tasks are increasingly automated, placing low- and middle-skilled workers at risk of displacement. This displacement may exacerbate income inequality if reskilling opportunities are insufficient. At the same time, automation generates new employment opportunities in areas such as robotics engineering, AI development, cybersecurity, and digital system management. The future of work is therefore characterized by polarization, with growth in both high-skill technical roles and low-skill service roles, while middle-skill jobs decline. The gig economy, enabled by digital platforms, further reshapes employment relationships by increasing flexibility but reducing job security and benefits. Governments and educational institutions must respond proactively by redesigning curricula, investing in lifelong learning, and strengthening social protection systems to ensure inclusive </w:t>
      </w:r>
      <w:r>
        <w:lastRenderedPageBreak/>
        <w:t>economic transitions. The social impact of automation ultimately depends on how effectively societies balance technological advancement with human-centered policies.</w:t>
      </w:r>
    </w:p>
    <w:p w14:paraId="4004D7E9" w14:textId="77777777" w:rsidR="00E5732D" w:rsidRDefault="00E5732D" w:rsidP="00084B23">
      <w:pPr>
        <w:pStyle w:val="NormalWeb"/>
        <w:spacing w:line="360" w:lineRule="auto"/>
        <w:jc w:val="both"/>
      </w:pPr>
      <w:r>
        <w:t>The ethical implications of emerging technologies cut across all technological domains and represent a critical dimension of social impact. Key ethical concerns include privacy, data ownership, transparency, accountability, fairness, inclusivity, and environmental sustainability. Data-driven technologies rely heavily on personal information, raising concerns about informed consent and the potential misuse of sensitive data. The “black box” nature of complex algorithms challenges transparency and undermines trust, particularly in high-stakes decisions affecting employment, healthcare, or criminal justice. Ethical governance requires explainable systems that allow users to understand how decisions are made. Accountability frameworks must clearly define responsibility when technological systems cause harm. Additionally, emerging technologies pose environmental challenges due to the high energy consumption of data centers and computational infrastructure. The development of autonomous weapons systems and other dual-use technologies further complicates ethical debates. Embedding ethical principles into the design process—often referred to as “ethics by design”—ensures that social values are integrated into technological innovation from inception through deployment and evaluation. Multidisciplinary collaboration among technologists, policymakers, ethicists, and civil society actors is essential to align technological progress with human rights and sustainable development goals.</w:t>
      </w:r>
    </w:p>
    <w:p w14:paraId="14DBEBC6" w14:textId="71067F3B" w:rsidR="00E5732D" w:rsidRDefault="00E5732D" w:rsidP="00084B23">
      <w:pPr>
        <w:pStyle w:val="NormalWeb"/>
        <w:spacing w:line="360" w:lineRule="auto"/>
        <w:jc w:val="both"/>
      </w:pPr>
      <w:r>
        <w:t>In conclusion, the social impacts of emerging technologies are transformative and far-reaching. AI, VR/AR, automation, and robotics offer unprecedented opportunities to enhance productivity, improve healthcare and education, and foster global connectivity. At the same time, they introduce risks related to inequality, job displacement, privacy erosion, ethical ambiguity, and shifting social norms. The extent to which these technologies contribute positively to society depends on governance structures, regulatory frameworks, digital literacy, and inclusive access strategies. A balanced and proactive approach that integrates innovation with ethical responsibility and social inclusion is essential to ensure sustainable and equitable technological progress.</w:t>
      </w:r>
    </w:p>
    <w:p w14:paraId="214BFE89" w14:textId="017FC566" w:rsidR="00084B23" w:rsidRPr="00084B23" w:rsidRDefault="00084B23" w:rsidP="00084B23">
      <w:pPr>
        <w:pStyle w:val="NormalWeb"/>
        <w:spacing w:line="360" w:lineRule="auto"/>
        <w:jc w:val="both"/>
        <w:rPr>
          <w:b/>
          <w:bCs/>
          <w:lang w:val="en-US"/>
        </w:rPr>
      </w:pPr>
      <w:r w:rsidRPr="00084B23">
        <w:rPr>
          <w:b/>
          <w:bCs/>
          <w:lang w:val="en-US"/>
        </w:rPr>
        <w:t>Questions and Answers</w:t>
      </w:r>
    </w:p>
    <w:p w14:paraId="53F0D482" w14:textId="328E4BED" w:rsidR="00E5732D" w:rsidRDefault="00E5732D" w:rsidP="00084B23">
      <w:pPr>
        <w:pStyle w:val="NormalWeb"/>
        <w:numPr>
          <w:ilvl w:val="0"/>
          <w:numId w:val="1"/>
        </w:numPr>
        <w:spacing w:line="360" w:lineRule="auto"/>
        <w:jc w:val="both"/>
      </w:pPr>
      <w:r w:rsidRPr="00084B23">
        <w:rPr>
          <w:b/>
          <w:bCs/>
        </w:rPr>
        <w:t>How can governments regulate Artificial Intelligence without stifling innovation?</w:t>
      </w:r>
      <w:r>
        <w:br/>
      </w:r>
      <w:r w:rsidRPr="00084B23">
        <w:rPr>
          <w:b/>
          <w:bCs/>
        </w:rPr>
        <w:t>Answer:</w:t>
      </w:r>
      <w:r>
        <w:t xml:space="preserve"> Governments can adopt a risk-based regulatory framework that categorizes </w:t>
      </w:r>
      <w:r>
        <w:lastRenderedPageBreak/>
        <w:t>AI applications according to their societal impact. High-risk systems should undergo mandatory audits, transparency requirements, and human oversight, while low-risk innovations operate under lighter regulations. Regulatory sandboxes can allow controlled experimentation. Continuous stakeholder consultation ensures policies remain adaptive to technological change while protecting citizens’ rights.</w:t>
      </w:r>
    </w:p>
    <w:p w14:paraId="5915674D" w14:textId="77777777" w:rsidR="00E5732D" w:rsidRDefault="00E5732D" w:rsidP="00084B23">
      <w:pPr>
        <w:pStyle w:val="NormalWeb"/>
        <w:numPr>
          <w:ilvl w:val="0"/>
          <w:numId w:val="1"/>
        </w:numPr>
        <w:spacing w:line="360" w:lineRule="auto"/>
        <w:jc w:val="both"/>
      </w:pPr>
      <w:r w:rsidRPr="00084B23">
        <w:rPr>
          <w:b/>
          <w:bCs/>
        </w:rPr>
        <w:t>In what ways might Virtual Reality reshape human identity and social relationships?</w:t>
      </w:r>
      <w:r w:rsidRPr="00084B23">
        <w:rPr>
          <w:b/>
          <w:bCs/>
        </w:rPr>
        <w:br/>
        <w:t xml:space="preserve">Answer: </w:t>
      </w:r>
      <w:r>
        <w:t>VR allows individuals to construct digital identities through avatars, promoting self-expression and exploration. However, excessive immersion may create identity fragmentation or reduce face-to-face social interaction. VR can strengthen global social networks but may also intensify social isolation or digital echo chambers. Balanced integration and platform governance are necessary to foster healthy social engagement.</w:t>
      </w:r>
    </w:p>
    <w:p w14:paraId="2528DA47" w14:textId="77777777" w:rsidR="00E5732D" w:rsidRDefault="00E5732D" w:rsidP="00084B23">
      <w:pPr>
        <w:pStyle w:val="NormalWeb"/>
        <w:numPr>
          <w:ilvl w:val="0"/>
          <w:numId w:val="1"/>
        </w:numPr>
        <w:spacing w:line="360" w:lineRule="auto"/>
        <w:jc w:val="both"/>
      </w:pPr>
      <w:r w:rsidRPr="00084B23">
        <w:rPr>
          <w:b/>
          <w:bCs/>
        </w:rPr>
        <w:t>What strategies can educational institutions adopt to prepare students for automation-driven labor markets?</w:t>
      </w:r>
      <w:r w:rsidRPr="00084B23">
        <w:rPr>
          <w:b/>
          <w:bCs/>
        </w:rPr>
        <w:br/>
        <w:t>Answer</w:t>
      </w:r>
      <w:r>
        <w:t>: Institutions should integrate digital literacy, interdisciplinary learning, and critical thinking skills into curricula. Emphasis on creativity, emotional intelligence, and complex problem-solving can enhance adaptability. Partnerships with industry, internships, and micro-credential programs support practical skill development and lifelong learning.</w:t>
      </w:r>
    </w:p>
    <w:p w14:paraId="2B4A9F73" w14:textId="77777777" w:rsidR="00E5732D" w:rsidRDefault="00E5732D" w:rsidP="00084B23">
      <w:pPr>
        <w:pStyle w:val="NormalWeb"/>
        <w:numPr>
          <w:ilvl w:val="0"/>
          <w:numId w:val="1"/>
        </w:numPr>
        <w:spacing w:line="360" w:lineRule="auto"/>
        <w:jc w:val="both"/>
      </w:pPr>
      <w:r w:rsidRPr="00084B23">
        <w:rPr>
          <w:b/>
          <w:bCs/>
        </w:rPr>
        <w:t>How can societies mitigate inequality resulting from technological displacement?</w:t>
      </w:r>
      <w:r w:rsidRPr="00084B23">
        <w:rPr>
          <w:b/>
          <w:bCs/>
        </w:rPr>
        <w:br/>
        <w:t>Answer</w:t>
      </w:r>
      <w:r>
        <w:t>: Investment in reskilling and upskilling programs, expansion of digital infrastructure, and social protection policies such as unemployment benefits or wage insurance can reduce inequality. Progressive taxation and public-private partnerships can fund workforce transition initiatives, ensuring inclusive participation in the digital economy.</w:t>
      </w:r>
    </w:p>
    <w:p w14:paraId="68D3C775" w14:textId="77777777" w:rsidR="00E5732D" w:rsidRDefault="00E5732D" w:rsidP="00084B23">
      <w:pPr>
        <w:pStyle w:val="NormalWeb"/>
        <w:numPr>
          <w:ilvl w:val="0"/>
          <w:numId w:val="1"/>
        </w:numPr>
        <w:spacing w:line="360" w:lineRule="auto"/>
        <w:jc w:val="both"/>
      </w:pPr>
      <w:r w:rsidRPr="00084B23">
        <w:rPr>
          <w:b/>
          <w:bCs/>
        </w:rPr>
        <w:t>How can ethical principles be embedded in emerging technology development?</w:t>
      </w:r>
      <w:r w:rsidRPr="00084B23">
        <w:rPr>
          <w:b/>
          <w:bCs/>
        </w:rPr>
        <w:br/>
        <w:t>Answer</w:t>
      </w:r>
      <w:r>
        <w:t>: Ethical principles can be operationalized through ethics-by-design frameworks, independent review boards, transparent algorithms, clear accountability standards, and ongoing monitoring of societal impact. Embedding ethics into organizational culture and regulatory compliance ensures that innovation aligns with human values and social well-being.</w:t>
      </w:r>
    </w:p>
    <w:p w14:paraId="0A2D5C93" w14:textId="55586E26" w:rsidR="00E5732D" w:rsidRPr="00C321BF" w:rsidRDefault="00E5732D" w:rsidP="00084B23">
      <w:pPr>
        <w:spacing w:before="100" w:beforeAutospacing="1" w:after="100" w:afterAutospacing="1" w:line="360" w:lineRule="auto"/>
        <w:ind w:left="720"/>
        <w:jc w:val="both"/>
        <w:rPr>
          <w:rFonts w:ascii="Times New Roman" w:eastAsia="Times New Roman" w:hAnsi="Times New Roman" w:cs="Times New Roman"/>
          <w:lang w:eastAsia="en-GB"/>
        </w:rPr>
      </w:pPr>
    </w:p>
    <w:p w14:paraId="4398BC4D" w14:textId="77777777" w:rsidR="00841FC7" w:rsidRDefault="00841FC7" w:rsidP="00084B23">
      <w:pPr>
        <w:spacing w:line="360" w:lineRule="auto"/>
        <w:jc w:val="both"/>
      </w:pPr>
    </w:p>
    <w:sectPr w:rsidR="00841FC7" w:rsidSect="00865AB5">
      <w:footerReference w:type="even" r:id="rId7"/>
      <w:footerReference w:type="default" r:id="rId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D165DD" w14:textId="77777777" w:rsidR="001A0579" w:rsidRDefault="001A0579" w:rsidP="00084B23">
      <w:r>
        <w:separator/>
      </w:r>
    </w:p>
  </w:endnote>
  <w:endnote w:type="continuationSeparator" w:id="0">
    <w:p w14:paraId="7FFA8F57" w14:textId="77777777" w:rsidR="001A0579" w:rsidRDefault="001A0579" w:rsidP="00084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551158384"/>
      <w:docPartObj>
        <w:docPartGallery w:val="Page Numbers (Bottom of Page)"/>
        <w:docPartUnique/>
      </w:docPartObj>
    </w:sdtPr>
    <w:sdtContent>
      <w:p w14:paraId="379F959C" w14:textId="0001A477" w:rsidR="00084B23" w:rsidRDefault="00084B23" w:rsidP="00F11E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BE5A6C" w14:textId="77777777" w:rsidR="00084B23" w:rsidRDefault="00084B23" w:rsidP="00084B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871305405"/>
      <w:docPartObj>
        <w:docPartGallery w:val="Page Numbers (Bottom of Page)"/>
        <w:docPartUnique/>
      </w:docPartObj>
    </w:sdtPr>
    <w:sdtContent>
      <w:p w14:paraId="2769784B" w14:textId="49CE2BFA" w:rsidR="00084B23" w:rsidRDefault="00084B23" w:rsidP="00F11E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7EF6E5C" w14:textId="77777777" w:rsidR="00084B23" w:rsidRDefault="00084B23" w:rsidP="00084B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E877B3" w14:textId="77777777" w:rsidR="001A0579" w:rsidRDefault="001A0579" w:rsidP="00084B23">
      <w:r>
        <w:separator/>
      </w:r>
    </w:p>
  </w:footnote>
  <w:footnote w:type="continuationSeparator" w:id="0">
    <w:p w14:paraId="3A589CAE" w14:textId="77777777" w:rsidR="001A0579" w:rsidRDefault="001A0579" w:rsidP="00084B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E236F0"/>
    <w:multiLevelType w:val="multilevel"/>
    <w:tmpl w:val="85EAD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55481A"/>
    <w:multiLevelType w:val="multilevel"/>
    <w:tmpl w:val="7FBE0B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2"/>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32D"/>
    <w:rsid w:val="00084B23"/>
    <w:rsid w:val="001A0579"/>
    <w:rsid w:val="00841FC7"/>
    <w:rsid w:val="00865AB5"/>
    <w:rsid w:val="00E5732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2CF76"/>
  <w15:chartTrackingRefBased/>
  <w15:docId w15:val="{C19270F3-6880-BF42-B908-C5E1E3526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3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732D"/>
    <w:pPr>
      <w:spacing w:before="100" w:beforeAutospacing="1" w:after="100" w:afterAutospacing="1"/>
    </w:pPr>
    <w:rPr>
      <w:rFonts w:ascii="Times New Roman" w:eastAsia="Times New Roman" w:hAnsi="Times New Roman" w:cs="Times New Roman"/>
      <w:lang w:eastAsia="en-GB"/>
    </w:rPr>
  </w:style>
  <w:style w:type="paragraph" w:styleId="Footer">
    <w:name w:val="footer"/>
    <w:basedOn w:val="Normal"/>
    <w:link w:val="FooterChar"/>
    <w:uiPriority w:val="99"/>
    <w:unhideWhenUsed/>
    <w:rsid w:val="00084B23"/>
    <w:pPr>
      <w:tabs>
        <w:tab w:val="center" w:pos="4513"/>
        <w:tab w:val="right" w:pos="9026"/>
      </w:tabs>
    </w:pPr>
  </w:style>
  <w:style w:type="character" w:customStyle="1" w:styleId="FooterChar">
    <w:name w:val="Footer Char"/>
    <w:basedOn w:val="DefaultParagraphFont"/>
    <w:link w:val="Footer"/>
    <w:uiPriority w:val="99"/>
    <w:rsid w:val="00084B23"/>
  </w:style>
  <w:style w:type="character" w:styleId="PageNumber">
    <w:name w:val="page number"/>
    <w:basedOn w:val="DefaultParagraphFont"/>
    <w:uiPriority w:val="99"/>
    <w:semiHidden/>
    <w:unhideWhenUsed/>
    <w:rsid w:val="00084B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6620977">
      <w:bodyDiv w:val="1"/>
      <w:marLeft w:val="0"/>
      <w:marRight w:val="0"/>
      <w:marTop w:val="0"/>
      <w:marBottom w:val="0"/>
      <w:divBdr>
        <w:top w:val="none" w:sz="0" w:space="0" w:color="auto"/>
        <w:left w:val="none" w:sz="0" w:space="0" w:color="auto"/>
        <w:bottom w:val="none" w:sz="0" w:space="0" w:color="auto"/>
        <w:right w:val="none" w:sz="0" w:space="0" w:color="auto"/>
      </w:divBdr>
      <w:divsChild>
        <w:div w:id="1391611470">
          <w:marLeft w:val="0"/>
          <w:marRight w:val="0"/>
          <w:marTop w:val="0"/>
          <w:marBottom w:val="0"/>
          <w:divBdr>
            <w:top w:val="none" w:sz="0" w:space="0" w:color="auto"/>
            <w:left w:val="none" w:sz="0" w:space="0" w:color="auto"/>
            <w:bottom w:val="none" w:sz="0" w:space="0" w:color="auto"/>
            <w:right w:val="none" w:sz="0" w:space="0" w:color="auto"/>
          </w:divBdr>
          <w:divsChild>
            <w:div w:id="1858227805">
              <w:marLeft w:val="0"/>
              <w:marRight w:val="0"/>
              <w:marTop w:val="0"/>
              <w:marBottom w:val="0"/>
              <w:divBdr>
                <w:top w:val="none" w:sz="0" w:space="0" w:color="auto"/>
                <w:left w:val="none" w:sz="0" w:space="0" w:color="auto"/>
                <w:bottom w:val="none" w:sz="0" w:space="0" w:color="auto"/>
                <w:right w:val="none" w:sz="0" w:space="0" w:color="auto"/>
              </w:divBdr>
              <w:divsChild>
                <w:div w:id="1615861080">
                  <w:marLeft w:val="0"/>
                  <w:marRight w:val="0"/>
                  <w:marTop w:val="0"/>
                  <w:marBottom w:val="0"/>
                  <w:divBdr>
                    <w:top w:val="none" w:sz="0" w:space="0" w:color="auto"/>
                    <w:left w:val="none" w:sz="0" w:space="0" w:color="auto"/>
                    <w:bottom w:val="none" w:sz="0" w:space="0" w:color="auto"/>
                    <w:right w:val="none" w:sz="0" w:space="0" w:color="auto"/>
                  </w:divBdr>
                  <w:divsChild>
                    <w:div w:id="88236488">
                      <w:marLeft w:val="0"/>
                      <w:marRight w:val="0"/>
                      <w:marTop w:val="0"/>
                      <w:marBottom w:val="0"/>
                      <w:divBdr>
                        <w:top w:val="none" w:sz="0" w:space="0" w:color="auto"/>
                        <w:left w:val="none" w:sz="0" w:space="0" w:color="auto"/>
                        <w:bottom w:val="none" w:sz="0" w:space="0" w:color="auto"/>
                        <w:right w:val="none" w:sz="0" w:space="0" w:color="auto"/>
                      </w:divBdr>
                      <w:divsChild>
                        <w:div w:id="1919708898">
                          <w:marLeft w:val="0"/>
                          <w:marRight w:val="0"/>
                          <w:marTop w:val="0"/>
                          <w:marBottom w:val="0"/>
                          <w:divBdr>
                            <w:top w:val="none" w:sz="0" w:space="0" w:color="auto"/>
                            <w:left w:val="none" w:sz="0" w:space="0" w:color="auto"/>
                            <w:bottom w:val="none" w:sz="0" w:space="0" w:color="auto"/>
                            <w:right w:val="none" w:sz="0" w:space="0" w:color="auto"/>
                          </w:divBdr>
                          <w:divsChild>
                            <w:div w:id="198183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580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1542</Words>
  <Characters>8794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2026-03-03T04:59:00Z</dcterms:created>
  <dcterms:modified xsi:type="dcterms:W3CDTF">2026-03-03T05:19:00Z</dcterms:modified>
</cp:coreProperties>
</file>