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488293" w14:textId="77777777" w:rsidR="003C3683" w:rsidRDefault="003C3683" w:rsidP="003C3683">
      <w:pPr>
        <w:spacing w:before="100" w:beforeAutospacing="1" w:after="100" w:afterAutospacing="1" w:line="360" w:lineRule="auto"/>
        <w:jc w:val="both"/>
        <w:rPr>
          <w:rFonts w:ascii="Times New Roman" w:eastAsia="Times New Roman" w:hAnsi="Times New Roman" w:cs="Times New Roman"/>
          <w:b/>
          <w:bCs/>
          <w:lang w:val="en-US" w:eastAsia="en-GB"/>
        </w:rPr>
      </w:pPr>
    </w:p>
    <w:p w14:paraId="46D2F045" w14:textId="3585A645" w:rsidR="003C3683" w:rsidRPr="003C3683" w:rsidRDefault="003C3683" w:rsidP="003C3683">
      <w:pPr>
        <w:spacing w:before="100" w:beforeAutospacing="1" w:after="100" w:afterAutospacing="1" w:line="360" w:lineRule="auto"/>
        <w:jc w:val="both"/>
        <w:rPr>
          <w:rFonts w:ascii="Times New Roman" w:eastAsia="Times New Roman" w:hAnsi="Times New Roman" w:cs="Times New Roman"/>
          <w:b/>
          <w:bCs/>
          <w:lang w:val="en-US" w:eastAsia="en-GB"/>
        </w:rPr>
      </w:pPr>
      <w:r w:rsidRPr="003C3683">
        <w:rPr>
          <w:rFonts w:ascii="Times New Roman" w:eastAsia="Times New Roman" w:hAnsi="Times New Roman" w:cs="Times New Roman"/>
          <w:b/>
          <w:bCs/>
          <w:lang w:val="en-US" w:eastAsia="en-GB"/>
        </w:rPr>
        <w:t>THE ROLE OF ICT IN EDUCATION</w:t>
      </w:r>
    </w:p>
    <w:p w14:paraId="1865745E" w14:textId="6E081322" w:rsidR="003C3683" w:rsidRPr="003C3683" w:rsidRDefault="003C3683" w:rsidP="003C3683">
      <w:pPr>
        <w:spacing w:before="100" w:beforeAutospacing="1" w:after="100" w:afterAutospacing="1" w:line="360" w:lineRule="auto"/>
        <w:jc w:val="both"/>
        <w:rPr>
          <w:rFonts w:ascii="Times New Roman" w:eastAsia="Times New Roman" w:hAnsi="Times New Roman" w:cs="Times New Roman"/>
          <w:lang w:eastAsia="en-GB"/>
        </w:rPr>
      </w:pPr>
      <w:r w:rsidRPr="003C3683">
        <w:rPr>
          <w:rFonts w:ascii="Times New Roman" w:eastAsia="Times New Roman" w:hAnsi="Times New Roman" w:cs="Times New Roman"/>
          <w:lang w:eastAsia="en-GB"/>
        </w:rPr>
        <w:t>Information and Communication Technologies (ICTs) have fundamentally transformed the landscape of education by redefining how knowledge is created, delivered, accessed, and assessed. ICTs encompass a wide range of digital tools and platforms, including computers, the internet, mobile devices, learning management systems, video conferencing tools, educational software, and cloud-based collaboration systems. Their integration into education has shifted traditional teacher-centered pedagogies toward more learner-centered, interactive, and flexible models of instruction. ICTs facilitate communication, expand access to information, promote collaboration across geographical boundaries, and support personalized learning pathways. However, their role in education is complex and multifaceted, producing both opportunities for innovation and challenges related to equity, quality assurance, and digital inclusion.</w:t>
      </w:r>
    </w:p>
    <w:p w14:paraId="072DEC47" w14:textId="77777777" w:rsidR="003C3683" w:rsidRPr="003C3683" w:rsidRDefault="003C3683" w:rsidP="003C3683">
      <w:pPr>
        <w:spacing w:before="100" w:beforeAutospacing="1" w:after="100" w:afterAutospacing="1" w:line="360" w:lineRule="auto"/>
        <w:jc w:val="both"/>
        <w:rPr>
          <w:rFonts w:ascii="Times New Roman" w:eastAsia="Times New Roman" w:hAnsi="Times New Roman" w:cs="Times New Roman"/>
          <w:lang w:eastAsia="en-GB"/>
        </w:rPr>
      </w:pPr>
      <w:r w:rsidRPr="003C3683">
        <w:rPr>
          <w:rFonts w:ascii="Times New Roman" w:eastAsia="Times New Roman" w:hAnsi="Times New Roman" w:cs="Times New Roman"/>
          <w:lang w:eastAsia="en-GB"/>
        </w:rPr>
        <w:t>Online learning and the digital classroom represent one of the most visible manifestations of ICT integration in education. Online learning environments utilize internet-based platforms to deliver instructional content, facilitate interaction, and conduct assessments. Digital classrooms may function synchronously through live video conferencing or asynchronously through recorded lectures, discussion forums, and digital assignments. Learning Management Systems (LMS) such as Moodle, Canvas, and Google Classroom enable educators to organize content, track student progress, and foster communication. The digital classroom expands flexibility, allowing learners to access materials at their own pace and from diverse locations. It supports multimedia integration, including videos, simulations, interactive quizzes, and collaborative documents, which enhance engagement and accommodate varied learning styles. Furthermore, digital classrooms encourage global collaboration by connecting students and instructors across institutions and countries. However, effective online learning requires digital literacy, self-regulation skills, reliable internet connectivity, and appropriate instructional design. Without these elements, students may experience disengagement, cognitive overload, or reduced academic performance. The transition to online learning has also redefined the educator’s role, shifting from knowledge transmitter to facilitator, mentor, and instructional designer.</w:t>
      </w:r>
    </w:p>
    <w:p w14:paraId="07CE2721" w14:textId="77777777" w:rsidR="003C3683" w:rsidRPr="003C3683" w:rsidRDefault="003C3683" w:rsidP="003C3683">
      <w:pPr>
        <w:spacing w:before="100" w:beforeAutospacing="1" w:after="100" w:afterAutospacing="1" w:line="360" w:lineRule="auto"/>
        <w:jc w:val="both"/>
        <w:rPr>
          <w:rFonts w:ascii="Times New Roman" w:eastAsia="Times New Roman" w:hAnsi="Times New Roman" w:cs="Times New Roman"/>
          <w:lang w:eastAsia="en-GB"/>
        </w:rPr>
      </w:pPr>
      <w:r w:rsidRPr="003C3683">
        <w:rPr>
          <w:rFonts w:ascii="Times New Roman" w:eastAsia="Times New Roman" w:hAnsi="Times New Roman" w:cs="Times New Roman"/>
          <w:lang w:eastAsia="en-GB"/>
        </w:rPr>
        <w:t xml:space="preserve">E-learning technologies and access constitute another critical dimension of ICT in education. E-learning technologies include digital content platforms, educational apps, adaptive learning </w:t>
      </w:r>
      <w:r w:rsidRPr="003C3683">
        <w:rPr>
          <w:rFonts w:ascii="Times New Roman" w:eastAsia="Times New Roman" w:hAnsi="Times New Roman" w:cs="Times New Roman"/>
          <w:lang w:eastAsia="en-GB"/>
        </w:rPr>
        <w:lastRenderedPageBreak/>
        <w:t>systems, artificial intelligence tutors, virtual laboratories, and mobile learning tools. These technologies enable personalized instruction by analyzing learner data to tailor content and feedback according to individual needs. Mobile technologies, in particular, have expanded access to education in remote and underserved communities by leveraging smartphones and low-bandwidth applications. Cloud computing allows institutions to store and share educational resources efficiently, promoting scalability and collaboration. Open educational resources (OER) provide free and reusable learning materials, reducing costs and broadening access. Despite these advantages, disparities in access to devices, broadband connectivity, and digital skills create barriers for many learners. In regions with limited infrastructure, e-learning initiatives may struggle to achieve intended outcomes. Therefore, access to ICT in education must be understood not only as physical access to devices but also as meaningful access, which includes digital competence, affordable connectivity, culturally relevant content, and institutional support systems.</w:t>
      </w:r>
    </w:p>
    <w:p w14:paraId="0ABFCD78" w14:textId="77777777" w:rsidR="003C3683" w:rsidRPr="003C3683" w:rsidRDefault="003C3683" w:rsidP="003C3683">
      <w:pPr>
        <w:spacing w:before="100" w:beforeAutospacing="1" w:after="100" w:afterAutospacing="1" w:line="360" w:lineRule="auto"/>
        <w:jc w:val="both"/>
        <w:rPr>
          <w:rFonts w:ascii="Times New Roman" w:eastAsia="Times New Roman" w:hAnsi="Times New Roman" w:cs="Times New Roman"/>
          <w:lang w:eastAsia="en-GB"/>
        </w:rPr>
      </w:pPr>
      <w:r w:rsidRPr="003C3683">
        <w:rPr>
          <w:rFonts w:ascii="Times New Roman" w:eastAsia="Times New Roman" w:hAnsi="Times New Roman" w:cs="Times New Roman"/>
          <w:lang w:eastAsia="en-GB"/>
        </w:rPr>
        <w:t>The impact of ICTs on educational inequality is both transformative and paradoxical. On one hand, ICTs have the potential to democratize education by removing geographical barriers, lowering costs, and offering flexible learning opportunities to non-traditional students, including working adults, rural populations, and learners with disabilities. Digital platforms can provide inclusive features such as screen readers, subtitles, and customizable interfaces that accommodate diverse learning needs. ICTs also facilitate global knowledge exchange, enabling learners from developing contexts to access high-quality educational content from leading institutions. On the other hand, the digital divide—defined by unequal access to technology, internet connectivity, and digital literacy—can exacerbate existing inequalities. Students from low-income households may lack devices or stable internet access, limiting their participation in online learning. Additionally, differences in parental support, technological infrastructure, and institutional funding contribute to disparities in learning outcomes. Educational inequality may therefore shift from traditional resource gaps (such as textbooks and classrooms) to digital resource gaps. Addressing these inequalities requires coordinated policies that invest in infrastructure, teacher training, digital skills development, and inclusive content design to ensure that ICT integration benefits all learners equitably.</w:t>
      </w:r>
    </w:p>
    <w:p w14:paraId="7B3A3C12" w14:textId="77777777" w:rsidR="003C3683" w:rsidRPr="003C3683" w:rsidRDefault="003C3683" w:rsidP="003C3683">
      <w:pPr>
        <w:spacing w:before="100" w:beforeAutospacing="1" w:after="100" w:afterAutospacing="1" w:line="360" w:lineRule="auto"/>
        <w:jc w:val="both"/>
        <w:rPr>
          <w:rFonts w:ascii="Times New Roman" w:eastAsia="Times New Roman" w:hAnsi="Times New Roman" w:cs="Times New Roman"/>
          <w:lang w:eastAsia="en-GB"/>
        </w:rPr>
      </w:pPr>
      <w:r w:rsidRPr="003C3683">
        <w:rPr>
          <w:rFonts w:ascii="Times New Roman" w:eastAsia="Times New Roman" w:hAnsi="Times New Roman" w:cs="Times New Roman"/>
          <w:lang w:eastAsia="en-GB"/>
        </w:rPr>
        <w:t xml:space="preserve">A prominent case study illustrating the transformative role of ICTs in education is the emergence of Massive Open Online Courses (MOOCs). MOOCs are online courses designed for large-scale participation and open access via the internet. They typically include video </w:t>
      </w:r>
      <w:r w:rsidRPr="003C3683">
        <w:rPr>
          <w:rFonts w:ascii="Times New Roman" w:eastAsia="Times New Roman" w:hAnsi="Times New Roman" w:cs="Times New Roman"/>
          <w:lang w:eastAsia="en-GB"/>
        </w:rPr>
        <w:lastRenderedPageBreak/>
        <w:t>lectures, readings, quizzes, discussion forums, and peer assessments. MOOCs gained global prominence through platforms such as Coursera, edX, and Udacity, offering courses from leading universities to millions of learners worldwide. The key features of MOOCs include scalability, flexibility, and affordability, often providing free access to course materials with optional paid certification. MOOCs exemplify how ICTs can expand educational access beyond traditional campus boundaries, enabling lifelong learning and professional development. They are particularly valuable for individuals seeking to upgrade skills in rapidly evolving fields such as data science, artificial intelligence, and business management. However, MOOCs also reveal limitations in digital education. Completion rates are often low, indicating challenges related to learner motivation, self-discipline, and support mechanisms. Additionally, while MOOCs are open in principle, learners without reliable internet access or digital literacy skills may still be excluded. Critics argue that MOOCs may reinforce global academic hierarchies, as courses are predominantly produced by institutions in developed countries, potentially marginalizing local knowledge systems. Despite these concerns, MOOCs remain a powerful example of how ICTs can reshape educational delivery, credentialing, and global knowledge dissemination.</w:t>
      </w:r>
    </w:p>
    <w:p w14:paraId="041F89AF" w14:textId="56E75EE5" w:rsidR="003C3683" w:rsidRDefault="003C3683" w:rsidP="003C3683">
      <w:pPr>
        <w:spacing w:before="100" w:beforeAutospacing="1" w:after="100" w:afterAutospacing="1" w:line="360" w:lineRule="auto"/>
        <w:jc w:val="both"/>
        <w:rPr>
          <w:rFonts w:ascii="Times New Roman" w:eastAsia="Times New Roman" w:hAnsi="Times New Roman" w:cs="Times New Roman"/>
          <w:lang w:eastAsia="en-GB"/>
        </w:rPr>
      </w:pPr>
      <w:r w:rsidRPr="003C3683">
        <w:rPr>
          <w:rFonts w:ascii="Times New Roman" w:eastAsia="Times New Roman" w:hAnsi="Times New Roman" w:cs="Times New Roman"/>
          <w:lang w:eastAsia="en-GB"/>
        </w:rPr>
        <w:t>In conclusion, ICTs play a transformative role in education by enabling digital classrooms, supporting e-learning technologies, expanding access to knowledge, and fostering innovative models such as MOOCs. They enhance flexibility, personalization, and global connectivity while simultaneously presenting challenges related to infrastructure, digital literacy, and inequality. The successful integration of ICTs into education depends on comprehensive strategies that address access, quality, inclusivity, and sustainability. As digital technologies continue to evolve, educational systems must adapt proactively to harness their potential while mitigating risks, ensuring that ICT-driven transformation contributes to equitable and high-quality learning opportunities for all.</w:t>
      </w:r>
    </w:p>
    <w:p w14:paraId="05304FD6" w14:textId="77777777" w:rsidR="003C3683" w:rsidRPr="003C3683" w:rsidRDefault="003C3683" w:rsidP="003C3683">
      <w:pPr>
        <w:spacing w:before="100" w:beforeAutospacing="1" w:after="100" w:afterAutospacing="1" w:line="360" w:lineRule="auto"/>
        <w:jc w:val="both"/>
        <w:rPr>
          <w:rFonts w:ascii="Times New Roman" w:eastAsia="Times New Roman" w:hAnsi="Times New Roman" w:cs="Times New Roman"/>
          <w:lang w:eastAsia="en-GB"/>
        </w:rPr>
      </w:pPr>
    </w:p>
    <w:p w14:paraId="48F1BDE3" w14:textId="77CC272E" w:rsidR="003C3683" w:rsidRPr="003C3683" w:rsidRDefault="003C3683" w:rsidP="003C3683">
      <w:pPr>
        <w:spacing w:line="360" w:lineRule="auto"/>
        <w:jc w:val="both"/>
        <w:rPr>
          <w:rFonts w:ascii="Times New Roman" w:eastAsia="Times New Roman" w:hAnsi="Times New Roman" w:cs="Times New Roman"/>
          <w:b/>
          <w:bCs/>
          <w:lang w:val="en-US" w:eastAsia="en-GB"/>
        </w:rPr>
      </w:pPr>
      <w:r w:rsidRPr="003C3683">
        <w:rPr>
          <w:rFonts w:ascii="Times New Roman" w:eastAsia="Times New Roman" w:hAnsi="Times New Roman" w:cs="Times New Roman"/>
          <w:b/>
          <w:bCs/>
          <w:lang w:val="en-US" w:eastAsia="en-GB"/>
        </w:rPr>
        <w:t>Questions and Answers</w:t>
      </w:r>
    </w:p>
    <w:p w14:paraId="2E88F337" w14:textId="77777777" w:rsidR="003C3683" w:rsidRPr="003C3683" w:rsidRDefault="003C3683" w:rsidP="003C3683">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3C3683">
        <w:rPr>
          <w:rFonts w:ascii="Times New Roman" w:eastAsia="Times New Roman" w:hAnsi="Times New Roman" w:cs="Times New Roman"/>
          <w:b/>
          <w:bCs/>
          <w:lang w:eastAsia="en-GB"/>
        </w:rPr>
        <w:t>How can governments and educational institutions design ICT integration strategies that maximize learning outcomes while minimizing digital inequality?</w:t>
      </w:r>
    </w:p>
    <w:p w14:paraId="7D0E99F5" w14:textId="5111AF8F" w:rsidR="003C3683" w:rsidRDefault="003C3683" w:rsidP="003C3683">
      <w:pPr>
        <w:spacing w:before="100" w:beforeAutospacing="1" w:after="100" w:afterAutospacing="1" w:line="360" w:lineRule="auto"/>
        <w:ind w:left="720"/>
        <w:jc w:val="both"/>
        <w:rPr>
          <w:rFonts w:ascii="Times New Roman" w:eastAsia="Times New Roman" w:hAnsi="Times New Roman" w:cs="Times New Roman"/>
          <w:lang w:eastAsia="en-GB"/>
        </w:rPr>
      </w:pPr>
      <w:r w:rsidRPr="003C3683">
        <w:rPr>
          <w:rFonts w:ascii="Times New Roman" w:eastAsia="Times New Roman" w:hAnsi="Times New Roman" w:cs="Times New Roman"/>
          <w:b/>
          <w:bCs/>
          <w:lang w:eastAsia="en-GB"/>
        </w:rPr>
        <w:lastRenderedPageBreak/>
        <w:br/>
        <w:t>Answer:</w:t>
      </w:r>
      <w:r w:rsidRPr="003C3683">
        <w:rPr>
          <w:rFonts w:ascii="Times New Roman" w:eastAsia="Times New Roman" w:hAnsi="Times New Roman" w:cs="Times New Roman"/>
          <w:lang w:eastAsia="en-GB"/>
        </w:rPr>
        <w:t xml:space="preserve"> Governments and institutions must adopt a holistic and equity-centered ICT integration strategy that goes beyond simply providing devices. First, infrastructure development is essential—this includes expanding broadband connectivity to rural and underserved areas and ensuring affordable internet access for low-income households. Second, device accessibility programs such as subsidized laptops or tablet distribution schemes should be implemented to ensure that all students can participate in digital learning. Third, digital literacy training must be embedded into both student curricula and teacher professional development programs so that technology is used effectively rather than superficially. Fourth, instructional design should emphasize inclusive and culturally relevant digital content that reflects local contexts while maintaining global standards. Finally, monitoring and evaluation systems should be established to assess the impact of ICT use on student engagement and performance, allowing for evidence-based adjustments. By addressing infrastructure, skills, pedagogy, and policy simultaneously, ICT integration can enhance learning outcomes without reinforcing socioeconomic disparities.</w:t>
      </w:r>
    </w:p>
    <w:p w14:paraId="7AF2D63C" w14:textId="77777777" w:rsidR="003C3683" w:rsidRPr="003C3683" w:rsidRDefault="003C3683" w:rsidP="003C3683">
      <w:pPr>
        <w:spacing w:before="100" w:beforeAutospacing="1" w:after="100" w:afterAutospacing="1" w:line="360" w:lineRule="auto"/>
        <w:ind w:left="720"/>
        <w:jc w:val="both"/>
        <w:rPr>
          <w:rFonts w:ascii="Times New Roman" w:eastAsia="Times New Roman" w:hAnsi="Times New Roman" w:cs="Times New Roman"/>
          <w:lang w:eastAsia="en-GB"/>
        </w:rPr>
      </w:pPr>
    </w:p>
    <w:p w14:paraId="291D54E1" w14:textId="77777777" w:rsidR="003C3683" w:rsidRPr="003C3683" w:rsidRDefault="003C3683" w:rsidP="003C3683">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3C3683">
        <w:rPr>
          <w:rFonts w:ascii="Times New Roman" w:eastAsia="Times New Roman" w:hAnsi="Times New Roman" w:cs="Times New Roman"/>
          <w:b/>
          <w:bCs/>
          <w:lang w:eastAsia="en-GB"/>
        </w:rPr>
        <w:t>In what ways can MOOCs be redesigned to improve completion rates and promote inclusive global participation?</w:t>
      </w:r>
    </w:p>
    <w:p w14:paraId="34354CCF" w14:textId="667B73FB" w:rsidR="003C3683" w:rsidRDefault="003C3683" w:rsidP="003C3683">
      <w:pPr>
        <w:spacing w:before="100" w:beforeAutospacing="1" w:after="100" w:afterAutospacing="1" w:line="360" w:lineRule="auto"/>
        <w:ind w:left="720"/>
        <w:jc w:val="both"/>
        <w:rPr>
          <w:rFonts w:ascii="Times New Roman" w:eastAsia="Times New Roman" w:hAnsi="Times New Roman" w:cs="Times New Roman"/>
          <w:lang w:eastAsia="en-GB"/>
        </w:rPr>
      </w:pPr>
      <w:r w:rsidRPr="003C3683">
        <w:rPr>
          <w:rFonts w:ascii="Times New Roman" w:eastAsia="Times New Roman" w:hAnsi="Times New Roman" w:cs="Times New Roman"/>
          <w:b/>
          <w:bCs/>
          <w:lang w:eastAsia="en-GB"/>
        </w:rPr>
        <w:br/>
        <w:t>Answer</w:t>
      </w:r>
      <w:r w:rsidRPr="003C3683">
        <w:rPr>
          <w:rFonts w:ascii="Times New Roman" w:eastAsia="Times New Roman" w:hAnsi="Times New Roman" w:cs="Times New Roman"/>
          <w:lang w:eastAsia="en-GB"/>
        </w:rPr>
        <w:t xml:space="preserve">: Improving MOOC completion rates and inclusivity requires addressing learner motivation, support systems, and contextual relevance. First, MOOCs can incorporate structured learning pathways with clear milestones, shorter modular content, and interactive assessments to reduce cognitive overload and maintain engagement. Second, integrating mentorship models, peer-support groups, and instructor interaction can enhance accountability and learner persistence. Third, adaptive learning technologies can personalize content according to learners’ prior knowledge and pace, increasing relevance and reducing frustration. To promote inclusivity, MOOC platforms should offer multilingual content, low-bandwidth access options, downloadable materials, and mobile-friendly interfaces to accommodate learners in regions with limited connectivity. Partnerships with local educational institutions can contextualize content and provide blended learning support, combining </w:t>
      </w:r>
      <w:r w:rsidRPr="003C3683">
        <w:rPr>
          <w:rFonts w:ascii="Times New Roman" w:eastAsia="Times New Roman" w:hAnsi="Times New Roman" w:cs="Times New Roman"/>
          <w:lang w:eastAsia="en-GB"/>
        </w:rPr>
        <w:lastRenderedPageBreak/>
        <w:t>online materials with in-person facilitation. Additionally, providing affordable certification and micro-credential pathways linked to labor market recognition increases the perceived value of course completion. Through these strategies, MOOCs can transition from being open-access repositories to structured, inclusive digital learning ecosystems.</w:t>
      </w:r>
    </w:p>
    <w:p w14:paraId="2F623AED" w14:textId="77777777" w:rsidR="003C3683" w:rsidRPr="003C3683" w:rsidRDefault="003C3683" w:rsidP="003C3683">
      <w:pPr>
        <w:spacing w:before="100" w:beforeAutospacing="1" w:after="100" w:afterAutospacing="1" w:line="360" w:lineRule="auto"/>
        <w:ind w:left="720"/>
        <w:rPr>
          <w:rFonts w:ascii="Times New Roman" w:eastAsia="Times New Roman" w:hAnsi="Times New Roman" w:cs="Times New Roman"/>
          <w:lang w:eastAsia="en-GB"/>
        </w:rPr>
      </w:pPr>
    </w:p>
    <w:p w14:paraId="2203BDAD" w14:textId="77777777" w:rsidR="003C3683" w:rsidRPr="003C3683" w:rsidRDefault="003C3683" w:rsidP="003C3683">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3C3683">
        <w:rPr>
          <w:rFonts w:ascii="Times New Roman" w:eastAsia="Times New Roman" w:hAnsi="Times New Roman" w:cs="Times New Roman"/>
          <w:b/>
          <w:bCs/>
          <w:lang w:eastAsia="en-GB"/>
        </w:rPr>
        <w:t>How can educators balance the benefits of digital classrooms with the need for human interaction and holistic student development?</w:t>
      </w:r>
    </w:p>
    <w:p w14:paraId="7BD05DF6" w14:textId="6FC6359D" w:rsidR="003C3683" w:rsidRPr="003C3683" w:rsidRDefault="003C3683" w:rsidP="003C3683">
      <w:pPr>
        <w:spacing w:before="100" w:beforeAutospacing="1" w:after="100" w:afterAutospacing="1" w:line="360" w:lineRule="auto"/>
        <w:ind w:left="720"/>
        <w:jc w:val="both"/>
        <w:rPr>
          <w:rFonts w:ascii="Times New Roman" w:eastAsia="Times New Roman" w:hAnsi="Times New Roman" w:cs="Times New Roman"/>
          <w:lang w:eastAsia="en-GB"/>
        </w:rPr>
      </w:pPr>
      <w:r w:rsidRPr="003C3683">
        <w:rPr>
          <w:rFonts w:ascii="Times New Roman" w:eastAsia="Times New Roman" w:hAnsi="Times New Roman" w:cs="Times New Roman"/>
          <w:b/>
          <w:bCs/>
          <w:lang w:eastAsia="en-GB"/>
        </w:rPr>
        <w:br/>
        <w:t>Answer:</w:t>
      </w:r>
      <w:r w:rsidRPr="003C3683">
        <w:rPr>
          <w:rFonts w:ascii="Times New Roman" w:eastAsia="Times New Roman" w:hAnsi="Times New Roman" w:cs="Times New Roman"/>
          <w:lang w:eastAsia="en-GB"/>
        </w:rPr>
        <w:t xml:space="preserve"> Educators can achieve balance by adopting blended learning models that integrate digital tools with meaningful face-to-face engagement. While digital classrooms offer flexibility, multimedia resources, and personalized feedback, human interaction remains crucial for social development, emotional support, and collaborative skill-building. Teachers should design courses that use online platforms for content delivery and self-paced study, while reserving in-person or synchronous sessions for discussion, problem-solving, and peer collaboration. Active learning strategies—such as group projects, debates, and case-based analysis—can strengthen interpersonal communication skills that may not fully develop in isolated online environments. Additionally, educators should prioritize social presence in digital spaces by providing regular feedback, hosting live interactive sessions, and fostering inclusive discussion forums. Supporting students’ mental well-being through mentorship and counseling services further ensures holistic development. By integrating technology as a supportive tool rather than a replacement for human connection, educational institutions can maximize the advantages of ICT while preserving the social and developmental dimensions of learning.</w:t>
      </w:r>
    </w:p>
    <w:p w14:paraId="779103C1" w14:textId="77777777" w:rsidR="00841FC7" w:rsidRDefault="00841FC7" w:rsidP="003C3683">
      <w:pPr>
        <w:spacing w:line="360" w:lineRule="auto"/>
        <w:jc w:val="both"/>
      </w:pPr>
    </w:p>
    <w:sectPr w:rsidR="00841FC7"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F47C54"/>
    <w:multiLevelType w:val="multilevel"/>
    <w:tmpl w:val="0692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2"/>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683"/>
    <w:rsid w:val="003C3683"/>
    <w:rsid w:val="00841FC7"/>
    <w:rsid w:val="00865AB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A059"/>
  <w15:chartTrackingRefBased/>
  <w15:docId w15:val="{FA895C54-C651-4545-A344-322CA5B9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3683"/>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4293902">
      <w:bodyDiv w:val="1"/>
      <w:marLeft w:val="0"/>
      <w:marRight w:val="0"/>
      <w:marTop w:val="0"/>
      <w:marBottom w:val="0"/>
      <w:divBdr>
        <w:top w:val="none" w:sz="0" w:space="0" w:color="auto"/>
        <w:left w:val="none" w:sz="0" w:space="0" w:color="auto"/>
        <w:bottom w:val="none" w:sz="0" w:space="0" w:color="auto"/>
        <w:right w:val="none" w:sz="0" w:space="0" w:color="auto"/>
      </w:divBdr>
      <w:divsChild>
        <w:div w:id="1912545398">
          <w:marLeft w:val="0"/>
          <w:marRight w:val="0"/>
          <w:marTop w:val="0"/>
          <w:marBottom w:val="0"/>
          <w:divBdr>
            <w:top w:val="none" w:sz="0" w:space="0" w:color="auto"/>
            <w:left w:val="none" w:sz="0" w:space="0" w:color="auto"/>
            <w:bottom w:val="none" w:sz="0" w:space="0" w:color="auto"/>
            <w:right w:val="none" w:sz="0" w:space="0" w:color="auto"/>
          </w:divBdr>
          <w:divsChild>
            <w:div w:id="606818229">
              <w:marLeft w:val="0"/>
              <w:marRight w:val="0"/>
              <w:marTop w:val="0"/>
              <w:marBottom w:val="0"/>
              <w:divBdr>
                <w:top w:val="none" w:sz="0" w:space="0" w:color="auto"/>
                <w:left w:val="none" w:sz="0" w:space="0" w:color="auto"/>
                <w:bottom w:val="none" w:sz="0" w:space="0" w:color="auto"/>
                <w:right w:val="none" w:sz="0" w:space="0" w:color="auto"/>
              </w:divBdr>
              <w:divsChild>
                <w:div w:id="1533766534">
                  <w:marLeft w:val="0"/>
                  <w:marRight w:val="0"/>
                  <w:marTop w:val="0"/>
                  <w:marBottom w:val="0"/>
                  <w:divBdr>
                    <w:top w:val="none" w:sz="0" w:space="0" w:color="auto"/>
                    <w:left w:val="none" w:sz="0" w:space="0" w:color="auto"/>
                    <w:bottom w:val="none" w:sz="0" w:space="0" w:color="auto"/>
                    <w:right w:val="none" w:sz="0" w:space="0" w:color="auto"/>
                  </w:divBdr>
                  <w:divsChild>
                    <w:div w:id="688215662">
                      <w:marLeft w:val="0"/>
                      <w:marRight w:val="0"/>
                      <w:marTop w:val="0"/>
                      <w:marBottom w:val="0"/>
                      <w:divBdr>
                        <w:top w:val="none" w:sz="0" w:space="0" w:color="auto"/>
                        <w:left w:val="none" w:sz="0" w:space="0" w:color="auto"/>
                        <w:bottom w:val="none" w:sz="0" w:space="0" w:color="auto"/>
                        <w:right w:val="none" w:sz="0" w:space="0" w:color="auto"/>
                      </w:divBdr>
                      <w:divsChild>
                        <w:div w:id="194345743">
                          <w:marLeft w:val="0"/>
                          <w:marRight w:val="0"/>
                          <w:marTop w:val="0"/>
                          <w:marBottom w:val="0"/>
                          <w:divBdr>
                            <w:top w:val="none" w:sz="0" w:space="0" w:color="auto"/>
                            <w:left w:val="none" w:sz="0" w:space="0" w:color="auto"/>
                            <w:bottom w:val="none" w:sz="0" w:space="0" w:color="auto"/>
                            <w:right w:val="none" w:sz="0" w:space="0" w:color="auto"/>
                          </w:divBdr>
                          <w:divsChild>
                            <w:div w:id="6878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393900">
          <w:marLeft w:val="0"/>
          <w:marRight w:val="0"/>
          <w:marTop w:val="0"/>
          <w:marBottom w:val="0"/>
          <w:divBdr>
            <w:top w:val="none" w:sz="0" w:space="0" w:color="auto"/>
            <w:left w:val="none" w:sz="0" w:space="0" w:color="auto"/>
            <w:bottom w:val="none" w:sz="0" w:space="0" w:color="auto"/>
            <w:right w:val="none" w:sz="0" w:space="0" w:color="auto"/>
          </w:divBdr>
          <w:divsChild>
            <w:div w:id="1757895188">
              <w:marLeft w:val="0"/>
              <w:marRight w:val="0"/>
              <w:marTop w:val="0"/>
              <w:marBottom w:val="0"/>
              <w:divBdr>
                <w:top w:val="none" w:sz="0" w:space="0" w:color="auto"/>
                <w:left w:val="none" w:sz="0" w:space="0" w:color="auto"/>
                <w:bottom w:val="none" w:sz="0" w:space="0" w:color="auto"/>
                <w:right w:val="none" w:sz="0" w:space="0" w:color="auto"/>
              </w:divBdr>
              <w:divsChild>
                <w:div w:id="1009453076">
                  <w:marLeft w:val="0"/>
                  <w:marRight w:val="0"/>
                  <w:marTop w:val="0"/>
                  <w:marBottom w:val="0"/>
                  <w:divBdr>
                    <w:top w:val="none" w:sz="0" w:space="0" w:color="auto"/>
                    <w:left w:val="none" w:sz="0" w:space="0" w:color="auto"/>
                    <w:bottom w:val="none" w:sz="0" w:space="0" w:color="auto"/>
                    <w:right w:val="none" w:sz="0" w:space="0" w:color="auto"/>
                  </w:divBdr>
                  <w:divsChild>
                    <w:div w:id="306980094">
                      <w:marLeft w:val="0"/>
                      <w:marRight w:val="0"/>
                      <w:marTop w:val="0"/>
                      <w:marBottom w:val="0"/>
                      <w:divBdr>
                        <w:top w:val="none" w:sz="0" w:space="0" w:color="auto"/>
                        <w:left w:val="none" w:sz="0" w:space="0" w:color="auto"/>
                        <w:bottom w:val="none" w:sz="0" w:space="0" w:color="auto"/>
                        <w:right w:val="none" w:sz="0" w:space="0" w:color="auto"/>
                      </w:divBdr>
                      <w:divsChild>
                        <w:div w:id="1315910230">
                          <w:marLeft w:val="0"/>
                          <w:marRight w:val="0"/>
                          <w:marTop w:val="0"/>
                          <w:marBottom w:val="0"/>
                          <w:divBdr>
                            <w:top w:val="none" w:sz="0" w:space="0" w:color="auto"/>
                            <w:left w:val="none" w:sz="0" w:space="0" w:color="auto"/>
                            <w:bottom w:val="none" w:sz="0" w:space="0" w:color="auto"/>
                            <w:right w:val="none" w:sz="0" w:space="0" w:color="auto"/>
                          </w:divBdr>
                          <w:divsChild>
                            <w:div w:id="536626693">
                              <w:marLeft w:val="0"/>
                              <w:marRight w:val="0"/>
                              <w:marTop w:val="0"/>
                              <w:marBottom w:val="0"/>
                              <w:divBdr>
                                <w:top w:val="none" w:sz="0" w:space="0" w:color="auto"/>
                                <w:left w:val="none" w:sz="0" w:space="0" w:color="auto"/>
                                <w:bottom w:val="none" w:sz="0" w:space="0" w:color="auto"/>
                                <w:right w:val="none" w:sz="0" w:space="0" w:color="auto"/>
                              </w:divBdr>
                              <w:divsChild>
                                <w:div w:id="131730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281509">
          <w:marLeft w:val="0"/>
          <w:marRight w:val="0"/>
          <w:marTop w:val="0"/>
          <w:marBottom w:val="0"/>
          <w:divBdr>
            <w:top w:val="none" w:sz="0" w:space="0" w:color="auto"/>
            <w:left w:val="none" w:sz="0" w:space="0" w:color="auto"/>
            <w:bottom w:val="none" w:sz="0" w:space="0" w:color="auto"/>
            <w:right w:val="none" w:sz="0" w:space="0" w:color="auto"/>
          </w:divBdr>
          <w:divsChild>
            <w:div w:id="1679698785">
              <w:marLeft w:val="0"/>
              <w:marRight w:val="0"/>
              <w:marTop w:val="0"/>
              <w:marBottom w:val="0"/>
              <w:divBdr>
                <w:top w:val="none" w:sz="0" w:space="0" w:color="auto"/>
                <w:left w:val="none" w:sz="0" w:space="0" w:color="auto"/>
                <w:bottom w:val="none" w:sz="0" w:space="0" w:color="auto"/>
                <w:right w:val="none" w:sz="0" w:space="0" w:color="auto"/>
              </w:divBdr>
              <w:divsChild>
                <w:div w:id="231047016">
                  <w:marLeft w:val="0"/>
                  <w:marRight w:val="0"/>
                  <w:marTop w:val="0"/>
                  <w:marBottom w:val="0"/>
                  <w:divBdr>
                    <w:top w:val="none" w:sz="0" w:space="0" w:color="auto"/>
                    <w:left w:val="none" w:sz="0" w:space="0" w:color="auto"/>
                    <w:bottom w:val="none" w:sz="0" w:space="0" w:color="auto"/>
                    <w:right w:val="none" w:sz="0" w:space="0" w:color="auto"/>
                  </w:divBdr>
                  <w:divsChild>
                    <w:div w:id="282884528">
                      <w:marLeft w:val="0"/>
                      <w:marRight w:val="0"/>
                      <w:marTop w:val="0"/>
                      <w:marBottom w:val="0"/>
                      <w:divBdr>
                        <w:top w:val="none" w:sz="0" w:space="0" w:color="auto"/>
                        <w:left w:val="none" w:sz="0" w:space="0" w:color="auto"/>
                        <w:bottom w:val="none" w:sz="0" w:space="0" w:color="auto"/>
                        <w:right w:val="none" w:sz="0" w:space="0" w:color="auto"/>
                      </w:divBdr>
                      <w:divsChild>
                        <w:div w:id="794450804">
                          <w:marLeft w:val="0"/>
                          <w:marRight w:val="0"/>
                          <w:marTop w:val="0"/>
                          <w:marBottom w:val="0"/>
                          <w:divBdr>
                            <w:top w:val="none" w:sz="0" w:space="0" w:color="auto"/>
                            <w:left w:val="none" w:sz="0" w:space="0" w:color="auto"/>
                            <w:bottom w:val="none" w:sz="0" w:space="0" w:color="auto"/>
                            <w:right w:val="none" w:sz="0" w:space="0" w:color="auto"/>
                          </w:divBdr>
                          <w:divsChild>
                            <w:div w:id="16470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1775</Words>
  <Characters>10121</Characters>
  <Application>Microsoft Office Word</Application>
  <DocSecurity>0</DocSecurity>
  <Lines>84</Lines>
  <Paragraphs>23</Paragraphs>
  <ScaleCrop>false</ScaleCrop>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2026-03-03T05:26:00Z</dcterms:created>
  <dcterms:modified xsi:type="dcterms:W3CDTF">2026-03-03T05:33:00Z</dcterms:modified>
</cp:coreProperties>
</file>