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Segoe UI" w:hAnsi="Segoe UI"/>
          <w:b/>
          <w:color w:val="0284C7"/>
          <w:sz w:val="18"/>
        </w:rPr>
        <w:t>COLLEGE DAA COURSE PROJECT · TECHNICAL SPECIFICATION &amp; ALGORITHM AUDIT</w:t>
      </w:r>
    </w:p>
    <w:p>
      <w:pPr>
        <w:jc w:val="center"/>
      </w:pPr>
      <w:r>
        <w:rPr>
          <w:rFonts w:ascii="Segoe UI" w:hAnsi="Segoe UI"/>
          <w:b/>
          <w:color w:val="0F172A"/>
          <w:sz w:val="44"/>
        </w:rPr>
        <w:t>RescueGrid: Disaster Relief Optimization System</w:t>
      </w:r>
    </w:p>
    <w:p>
      <w:pPr>
        <w:jc w:val="center"/>
      </w:pPr>
      <w:r>
        <w:rPr>
          <w:rFonts w:ascii="Segoe UI" w:hAnsi="Segoe UI"/>
          <w:i/>
          <w:color w:val="475569"/>
          <w:sz w:val="22"/>
        </w:rPr>
        <w:t>Design and Analysis of Algorithms (DAA) Interactive Simulation &amp; Verification Platform</w:t>
      </w:r>
    </w:p>
    <w:tbl>
      <w:tblPr>
        <w:tblW w:type="auto" w:w="0"/>
        <w:jc w:val="center"/>
        <w:tblLook w:firstColumn="1" w:firstRow="1" w:lastColumn="0" w:lastRow="0" w:noHBand="0" w:noVBand="1" w:val="04A0"/>
      </w:tblPr>
      <w:tblGrid>
        <w:gridCol w:w="2437"/>
        <w:gridCol w:w="2437"/>
        <w:gridCol w:w="2437"/>
        <w:gridCol w:w="2437"/>
      </w:tblGrid>
      <w:tr>
        <w:tc>
          <w:tcPr>
            <w:tcW w:type="dxa" w:w="2437"/>
            <w:shd w:fill="F1F5F9"/>
            <w:tcMar>
              <w:top w:w="80" w:type="dxa"/>
              <w:bottom w:w="80" w:type="dxa"/>
              <w:left w:w="100" w:type="dxa"/>
              <w:right w:w="100" w:type="dxa"/>
            </w:tcMar>
          </w:tcPr>
          <w:p>
            <w:pPr>
              <w:jc w:val="left"/>
            </w:pPr>
            <w:r>
              <w:rPr>
                <w:rFonts w:ascii="Segoe UI" w:hAnsi="Segoe UI"/>
                <w:b/>
                <w:color w:val="0F172A"/>
                <w:sz w:val="17"/>
              </w:rPr>
              <w:t xml:space="preserve">Course: </w:t>
            </w:r>
            <w:r>
              <w:rPr>
                <w:rFonts w:ascii="Segoe UI" w:hAnsi="Segoe UI"/>
                <w:color w:val="475569"/>
                <w:sz w:val="17"/>
              </w:rPr>
              <w:t>Design &amp; Analysis of Algorithms</w:t>
            </w:r>
          </w:p>
        </w:tc>
        <w:tc>
          <w:tcPr>
            <w:tcW w:type="dxa" w:w="2437"/>
            <w:shd w:fill="F1F5F9"/>
            <w:tcMar>
              <w:top w:w="80" w:type="dxa"/>
              <w:bottom w:w="80" w:type="dxa"/>
              <w:left w:w="100" w:type="dxa"/>
              <w:right w:w="100" w:type="dxa"/>
            </w:tcMar>
          </w:tcPr>
          <w:p>
            <w:pPr>
              <w:jc w:val="left"/>
            </w:pPr>
            <w:r>
              <w:rPr>
                <w:rFonts w:ascii="Segoe UI" w:hAnsi="Segoe UI"/>
                <w:b/>
                <w:color w:val="0F172A"/>
                <w:sz w:val="17"/>
              </w:rPr>
              <w:t xml:space="preserve">Project Type: </w:t>
            </w:r>
            <w:r>
              <w:rPr>
                <w:rFonts w:ascii="Segoe UI" w:hAnsi="Segoe UI"/>
                <w:color w:val="475569"/>
                <w:sz w:val="17"/>
              </w:rPr>
              <w:t>Disaster Response Simulation</w:t>
            </w:r>
          </w:p>
        </w:tc>
        <w:tc>
          <w:tcPr>
            <w:tcW w:type="dxa" w:w="2437"/>
            <w:shd w:fill="F1F5F9"/>
            <w:tcMar>
              <w:top w:w="80" w:type="dxa"/>
              <w:bottom w:w="80" w:type="dxa"/>
              <w:left w:w="100" w:type="dxa"/>
              <w:right w:w="100" w:type="dxa"/>
            </w:tcMar>
          </w:tcPr>
          <w:p>
            <w:pPr>
              <w:jc w:val="left"/>
            </w:pPr>
            <w:r>
              <w:rPr>
                <w:rFonts w:ascii="Segoe UI" w:hAnsi="Segoe UI"/>
                <w:b/>
                <w:color w:val="0F172A"/>
                <w:sz w:val="17"/>
              </w:rPr>
              <w:t xml:space="preserve">Graph Topology: </w:t>
            </w:r>
            <w:r>
              <w:rPr>
                <w:rFonts w:ascii="Segoe UI" w:hAnsi="Segoe UI"/>
                <w:color w:val="475569"/>
                <w:sz w:val="17"/>
              </w:rPr>
              <w:t>13 Nodes · 19 Roads</w:t>
            </w:r>
          </w:p>
        </w:tc>
        <w:tc>
          <w:tcPr>
            <w:tcW w:type="dxa" w:w="2437"/>
            <w:shd w:fill="F1F5F9"/>
            <w:tcMar>
              <w:top w:w="80" w:type="dxa"/>
              <w:bottom w:w="80" w:type="dxa"/>
              <w:left w:w="100" w:type="dxa"/>
              <w:right w:w="100" w:type="dxa"/>
            </w:tcMar>
          </w:tcPr>
          <w:p>
            <w:pPr>
              <w:jc w:val="left"/>
            </w:pPr>
            <w:r>
              <w:rPr>
                <w:rFonts w:ascii="Segoe UI" w:hAnsi="Segoe UI"/>
                <w:b/>
                <w:color w:val="0F172A"/>
                <w:sz w:val="17"/>
              </w:rPr>
              <w:t xml:space="preserve">Payload Limit: </w:t>
            </w:r>
            <w:r>
              <w:rPr>
                <w:rFonts w:ascii="Segoe UI" w:hAnsi="Segoe UI"/>
                <w:color w:val="475569"/>
                <w:sz w:val="17"/>
              </w:rPr>
              <w:t>15 Units (Configurable)</w:t>
            </w:r>
          </w:p>
        </w:tc>
      </w:tr>
      <w:tr>
        <w:tc>
          <w:tcPr>
            <w:tcW w:type="dxa" w:w="2437"/>
            <w:shd w:fill="F1F5F9"/>
            <w:tcMar>
              <w:top w:w="80" w:type="dxa"/>
              <w:bottom w:w="80" w:type="dxa"/>
              <w:left w:w="100" w:type="dxa"/>
              <w:right w:w="100" w:type="dxa"/>
            </w:tcMar>
          </w:tcPr>
          <w:p>
            <w:pPr>
              <w:jc w:val="left"/>
            </w:pPr>
            <w:r>
              <w:rPr>
                <w:rFonts w:ascii="Segoe UI" w:hAnsi="Segoe UI"/>
                <w:b/>
                <w:color w:val="0F172A"/>
                <w:sz w:val="17"/>
              </w:rPr>
              <w:t xml:space="preserve">Primary Stack: </w:t>
            </w:r>
            <w:r>
              <w:rPr>
                <w:rFonts w:ascii="Segoe UI" w:hAnsi="Segoe UI"/>
                <w:color w:val="475569"/>
                <w:sz w:val="17"/>
              </w:rPr>
              <w:t>React 18 · TypeScript · Vite</w:t>
            </w:r>
          </w:p>
        </w:tc>
        <w:tc>
          <w:tcPr>
            <w:tcW w:type="dxa" w:w="2437"/>
            <w:shd w:fill="F1F5F9"/>
            <w:tcMar>
              <w:top w:w="80" w:type="dxa"/>
              <w:bottom w:w="80" w:type="dxa"/>
              <w:left w:w="100" w:type="dxa"/>
              <w:right w:w="100" w:type="dxa"/>
            </w:tcMar>
          </w:tcPr>
          <w:p>
            <w:pPr>
              <w:jc w:val="left"/>
            </w:pPr>
            <w:r>
              <w:rPr>
                <w:rFonts w:ascii="Segoe UI" w:hAnsi="Segoe UI"/>
                <w:b/>
                <w:color w:val="0F172A"/>
                <w:sz w:val="17"/>
              </w:rPr>
              <w:t xml:space="preserve">Algorithms: </w:t>
            </w:r>
            <w:r>
              <w:rPr>
                <w:rFonts w:ascii="Segoe UI" w:hAnsi="Segoe UI"/>
                <w:color w:val="475569"/>
                <w:sz w:val="17"/>
              </w:rPr>
              <w:t>MergeSort · Bellman-Ford · Knapsack · Backtrack</w:t>
            </w:r>
          </w:p>
        </w:tc>
        <w:tc>
          <w:tcPr>
            <w:tcW w:type="dxa" w:w="2437"/>
            <w:shd w:fill="F1F5F9"/>
            <w:tcMar>
              <w:top w:w="80" w:type="dxa"/>
              <w:bottom w:w="80" w:type="dxa"/>
              <w:left w:w="100" w:type="dxa"/>
              <w:right w:w="100" w:type="dxa"/>
            </w:tcMar>
          </w:tcPr>
          <w:p>
            <w:pPr>
              <w:jc w:val="left"/>
            </w:pPr>
            <w:r>
              <w:rPr>
                <w:rFonts w:ascii="Segoe UI" w:hAnsi="Segoe UI"/>
                <w:b/>
                <w:color w:val="0F172A"/>
                <w:sz w:val="17"/>
              </w:rPr>
              <w:t xml:space="preserve">Execution Engine: </w:t>
            </w:r>
            <w:r>
              <w:rPr>
                <w:rFonts w:ascii="Segoe UI" w:hAnsi="Segoe UI"/>
                <w:color w:val="475569"/>
                <w:sz w:val="17"/>
              </w:rPr>
              <w:t>Discrete-Event Team Reuse</w:t>
            </w:r>
          </w:p>
        </w:tc>
        <w:tc>
          <w:tcPr>
            <w:tcW w:type="dxa" w:w="2437"/>
            <w:shd w:fill="F1F5F9"/>
            <w:tcMar>
              <w:top w:w="80" w:type="dxa"/>
              <w:bottom w:w="80" w:type="dxa"/>
              <w:left w:w="100" w:type="dxa"/>
              <w:right w:w="100" w:type="dxa"/>
            </w:tcMar>
          </w:tcPr>
          <w:p>
            <w:pPr>
              <w:jc w:val="left"/>
            </w:pPr>
            <w:r>
              <w:rPr>
                <w:rFonts w:ascii="Segoe UI" w:hAnsi="Segoe UI"/>
                <w:b/>
                <w:color w:val="0F172A"/>
                <w:sz w:val="17"/>
              </w:rPr>
              <w:t xml:space="preserve">Verification: </w:t>
            </w:r>
            <w:r>
              <w:rPr>
                <w:rFonts w:ascii="Segoe UI" w:hAnsi="Segoe UI"/>
                <w:color w:val="475569"/>
                <w:sz w:val="17"/>
              </w:rPr>
              <w:t>28 Vitest Tests Passed</w:t>
            </w:r>
          </w:p>
        </w:tc>
      </w:tr>
    </w:tbl>
    <w:p/>
    <w:p>
      <w:pPr>
        <w:pStyle w:val="Heading1"/>
      </w:pPr>
      <w:r>
        <w:rPr>
          <w:rFonts w:ascii="Segoe UI" w:hAnsi="Segoe UI"/>
          <w:b/>
          <w:color w:val="0E7490"/>
          <w:sz w:val="30"/>
        </w:rPr>
        <w:t>1. Project Overview</w:t>
      </w:r>
    </w:p>
    <w:p>
      <w:pPr>
        <w:spacing w:line="276" w:lineRule="auto"/>
      </w:pPr>
      <w:r>
        <w:t>RescueGrid is an interactive disaster management simulation platform engineered to solve critical bottlenecks in emergency relief coordination. During humanitarian crises (such as flash floods, earthquakes, and urban fires), decision-makers face three high-stakes logistical challenges: triaging life-threatening casualty incidents under extreme time pressure, navigating heavily damaged town transit networks containing hazardous road collapses, and packing limited-capacity rescue transports with the most beneficial mixture of medical and relief supplies. RescueGrid addresses these challenges by integrating four classical Design and Analysis of Algorithms (DAA) paradigms into an end-to-end discrete-event simulation engine.</w:t>
      </w:r>
    </w:p>
    <w:p>
      <w:pPr>
        <w:spacing w:line="276" w:lineRule="auto"/>
      </w:pPr>
      <w:r>
        <w:t>System Architecture &amp; Operation: The application models an urban emergency zone as an undirected, weighted graph of 13 strategic infrastructure nodes (Operations Headquarters, Hospitals, River Banks, Shelters, Bridges) connected by 19 primary road segments. The system operates in two core operational modes:</w:t>
        <w:br/>
        <w:t>• Option A (User Input Scenario Builder): A clean starting canvas allowing operators to define custom incidents with specific casualty counts, urgency ratings, and specialized capability demands; configure rescue teams with medical, flood, and general skills; manage relief supplies; and dynamically toggle road hazards directly on the interactive town map.</w:t>
        <w:br/>
        <w:t>• Option B (Predefined Emergency Scenarios): Curated emergency scenarios (Normal Rescue, Critical Emergency, Resource Shortage, No Route Available) engineered to test boundary conditions, road closures, supply deficits, and isolated zones.</w:t>
      </w:r>
    </w:p>
    <w:p>
      <w:pPr>
        <w:pStyle w:val="Heading1"/>
      </w:pPr>
      <w:r>
        <w:rPr>
          <w:rFonts w:ascii="Segoe UI" w:hAnsi="Segoe UI"/>
          <w:b/>
          <w:color w:val="0E7490"/>
          <w:sz w:val="30"/>
        </w:rPr>
        <w:t>2. Four Algorithms Implemented in RescueGrid</w:t>
      </w:r>
    </w:p>
    <w:p>
      <w:pPr>
        <w:spacing w:line="276" w:lineRule="auto"/>
      </w:pPr>
      <w:r>
        <w:t>All algorithms in RescueGrid have been verified directly from the source code (src/algorithms.ts). Each algorithm addresses a distinct phase of disaster response:</w:t>
      </w:r>
    </w:p>
    <w:p>
      <w:pPr>
        <w:pStyle w:val="Heading2"/>
      </w:pPr>
      <w:r>
        <w:rPr>
          <w:rFonts w:ascii="Segoe UI" w:hAnsi="Segoe UI"/>
          <w:b/>
          <w:color w:val="0F172A"/>
          <w:sz w:val="24"/>
        </w:rPr>
        <w:t>2.1 Merge Sort — Multi-Criterion Casualty Incident Triage</w:t>
      </w:r>
    </w:p>
    <w:p>
      <w:pPr>
        <w:spacing w:line="276" w:lineRule="auto"/>
      </w:pPr>
      <w:r>
        <w:t>• How It Works: Merge Sort is a divide-and-conquer algorithm that recursively splits an unsorted list of incident requests into singletons (arrays of length ≤ 1), and then systematically merges adjacent sublists in priority order using a custom comparator function.</w:t>
        <w:br/>
        <w:t>• Multi-Criterion Priority Hierarchy: Triage order is evaluated strictly through a 5-tier policy: (1) Urgency Tier (Critical &gt; High &gt; Medium &gt; Low), (2) Medical Emergency Flag (medical incidents prioritize over non-medical), (3) Affected Population (descending casualty counts), (4) Waiting Time (longer elapsed waiting time prioritized), and (5) Deterministic Incident ID tie-break.</w:t>
        <w:br/>
        <w:t>• Where &amp; Why Used in RescueGrid: Located in src/algorithms.ts (mergeSort and mergeSortWithTrace). It sorts the operational incident queue so rescue teams are dispatched to the most severe and time-sensitive disasters first, ensuring life-critical medical emergencies are never delayed.</w:t>
        <w:br/>
        <w:t>• Time Complexity: O(R log R) across best, worst, and average cases, where R is the number of incidents. Space Complexity: O(R) auxiliary space.</w:t>
      </w:r>
    </w:p>
    <w:p>
      <w:pPr>
        <w:pStyle w:val="Heading2"/>
      </w:pPr>
      <w:r>
        <w:rPr>
          <w:rFonts w:ascii="Segoe UI" w:hAnsi="Segoe UI"/>
          <w:b/>
          <w:color w:val="0F172A"/>
          <w:sz w:val="24"/>
        </w:rPr>
        <w:t>2.2 Bellman-Ford — Shortest Safe Transit Path Under Road Hazards</w:t>
      </w:r>
    </w:p>
    <w:p>
      <w:pPr>
        <w:spacing w:line="276" w:lineRule="auto"/>
      </w:pPr>
      <w:r>
        <w:t>• How It Works: Bellman-Ford is a dynamic programming graph traversal algorithm. It initializes distance estimates from Headquarters (HQ) to all vertices as ∞ (with dist[HQ] = 0). It systematically performs |V| - 1 passes over all active directed edges, relaxing any edge (u, v) where dist[u] + cost(u, v) &lt; dist[v]. A final verification pass checks for negative-weight cycles.</w:t>
        <w:br/>
        <w:t>• Where &amp; Why Used in RescueGrid: Located in src/algorithms.ts (bellmanFord). In disaster zones, collapsed roads, flood debris, and damaged bridges render road segments impassable. Bellman-Ford filters out all blocked roads and calculates the optimal minimum-travel-cost route from HQ to every incident destination, verifying reachability and providing alternative detours.</w:t>
        <w:br/>
        <w:t>• Time Complexity: O(V · E), where V is the number of town locations (13 nodes) and E is the number of road segments (19 bidirectional edges = 38 directed edges). Space Complexity: O(V) for predecessor and distance tables.</w:t>
      </w:r>
    </w:p>
    <w:p>
      <w:pPr>
        <w:pStyle w:val="Heading2"/>
      </w:pPr>
      <w:r>
        <w:rPr>
          <w:rFonts w:ascii="Segoe UI" w:hAnsi="Segoe UI"/>
          <w:b/>
          <w:color w:val="0F172A"/>
          <w:sz w:val="24"/>
        </w:rPr>
        <w:t>2.3 0/1 Knapsack (Dynamic Programming) — Optimal Relief Supply Allocation</w:t>
      </w:r>
    </w:p>
    <w:p>
      <w:pPr>
        <w:spacing w:line="276" w:lineRule="auto"/>
      </w:pPr>
      <w:r>
        <w:t>• How It Works: The 0/1 Knapsack algorithm constructs an (N + 1) × (W + 1) dynamic programming table where dp[i][w] represents the maximum humanitarian relief value attainable using a subset of the first i package items within weight capacity w. The recurrence relation is:</w:t>
        <w:br/>
        <w:t xml:space="preserve">   dp[i][w] = dp[i - 1][w] if weight[i] &gt; w, else max(dp[i - 1][w], value[i] + dp[i - 1][w - weight[i]])</w:t>
        <w:br/>
        <w:t>Following table generation, the algorithm backtracks from dp[N][W] to determine the exact subset of packages packed onto the vehicle.</w:t>
        <w:br/>
        <w:t>• Where &amp; Why Used in RescueGrid: Located in src/algorithms.ts (knapsack). Emergency transport vehicles have rigid physical payload limits (default 15 capacity units). The algorithm optimizes cargo manifests (Trauma Kits, Mobile Clinics, Water Purification Units, Food Rations) to maximize total casualty support value without exceeding payload limits. It also computes a greedy fractional comparison to demonstrate DP optimality.</w:t>
        <w:br/>
        <w:t>• Time Complexity: O(N · W) pseudo-polynomial time and space, where N is total relief items and W is vehicle payload capacity.</w:t>
      </w:r>
    </w:p>
    <w:p>
      <w:pPr>
        <w:pStyle w:val="Heading2"/>
      </w:pPr>
      <w:r>
        <w:rPr>
          <w:rFonts w:ascii="Segoe UI" w:hAnsi="Segoe UI"/>
          <w:b/>
          <w:color w:val="0F172A"/>
          <w:sz w:val="24"/>
        </w:rPr>
        <w:t>2.4 Backtracking with State Space Tree — Specialized Rescue Team Assignment</w:t>
      </w:r>
    </w:p>
    <w:p>
      <w:pPr>
        <w:spacing w:line="276" w:lineRule="auto"/>
      </w:pPr>
      <w:r>
        <w:t>• How It Works: Backtracking systematically explores the combinatorial assignment space using depth-first search over a state space tree. At each node, it evaluates candidate team assignments against strict feasibility constraints: (1) Team Availability (team must not be active elsewhere), and (2) Capability Compatibility (team skills must match incident demands, e.g., 'medical' for trauma clinics, 'flood' for river rescues, or 'general'). Infeasible assignments are immediately pruned (bounding step), causing the algorithm to backtrack up the tree and test alternative branches.</w:t>
        <w:br/>
        <w:t>• Where &amp; Why Used in RescueGrid: Located in src/algorithms.ts (assignTeams). It prevents fatal dispatch mismatches (e.g., dispatching general volunteers to critical surgical trauma sites) and eliminates double-booking of emergency units.</w:t>
        <w:br/>
        <w:t>• Time Complexity: O(M^N) worst-case combinatorial complexity, where N is incident tasks and M is available rescue teams; significantly pruned in practice by capability and availability bounding constraints.</w:t>
      </w:r>
    </w:p>
    <w:tbl>
      <w:tblPr>
        <w:tblW w:type="auto" w:w="0"/>
        <w:jc w:val="center"/>
        <w:tblLook w:firstColumn="1" w:firstRow="1" w:lastColumn="0" w:lastRow="0" w:noHBand="0" w:noVBand="1" w:val="04A0"/>
      </w:tblPr>
      <w:tblGrid>
        <w:gridCol w:w="1950"/>
        <w:gridCol w:w="1950"/>
        <w:gridCol w:w="1950"/>
        <w:gridCol w:w="1950"/>
        <w:gridCol w:w="1950"/>
      </w:tblGrid>
      <w:tr>
        <w:tc>
          <w:tcPr>
            <w:tcW w:type="dxa" w:w="1950"/>
            <w:shd w:fill="0F172A"/>
            <w:tcMar>
              <w:top w:w="100" w:type="dxa"/>
              <w:bottom w:w="100" w:type="dxa"/>
              <w:left w:w="100" w:type="dxa"/>
              <w:right w:w="100" w:type="dxa"/>
            </w:tcMar>
          </w:tcPr>
          <w:p>
            <w:r>
              <w:rPr>
                <w:rFonts w:ascii="Segoe UI" w:hAnsi="Segoe UI"/>
                <w:b/>
                <w:color w:val="FFFFFF"/>
                <w:sz w:val="17"/>
              </w:rPr>
              <w:t>Algorithm</w:t>
            </w:r>
          </w:p>
        </w:tc>
        <w:tc>
          <w:tcPr>
            <w:tcW w:type="dxa" w:w="1950"/>
            <w:shd w:fill="0F172A"/>
            <w:tcMar>
              <w:top w:w="100" w:type="dxa"/>
              <w:bottom w:w="100" w:type="dxa"/>
              <w:left w:w="100" w:type="dxa"/>
              <w:right w:w="100" w:type="dxa"/>
            </w:tcMar>
          </w:tcPr>
          <w:p>
            <w:r>
              <w:rPr>
                <w:rFonts w:ascii="Segoe UI" w:hAnsi="Segoe UI"/>
                <w:b/>
                <w:color w:val="FFFFFF"/>
                <w:sz w:val="17"/>
              </w:rPr>
              <w:t>Design Paradigm</w:t>
            </w:r>
          </w:p>
        </w:tc>
        <w:tc>
          <w:tcPr>
            <w:tcW w:type="dxa" w:w="1950"/>
            <w:shd w:fill="0F172A"/>
            <w:tcMar>
              <w:top w:w="100" w:type="dxa"/>
              <w:bottom w:w="100" w:type="dxa"/>
              <w:left w:w="100" w:type="dxa"/>
              <w:right w:w="100" w:type="dxa"/>
            </w:tcMar>
          </w:tcPr>
          <w:p>
            <w:r>
              <w:rPr>
                <w:rFonts w:ascii="Segoe UI" w:hAnsi="Segoe UI"/>
                <w:b/>
                <w:color w:val="FFFFFF"/>
                <w:sz w:val="17"/>
              </w:rPr>
              <w:t>Time Complexity</w:t>
            </w:r>
          </w:p>
        </w:tc>
        <w:tc>
          <w:tcPr>
            <w:tcW w:type="dxa" w:w="1950"/>
            <w:shd w:fill="0F172A"/>
            <w:tcMar>
              <w:top w:w="100" w:type="dxa"/>
              <w:bottom w:w="100" w:type="dxa"/>
              <w:left w:w="100" w:type="dxa"/>
              <w:right w:w="100" w:type="dxa"/>
            </w:tcMar>
          </w:tcPr>
          <w:p>
            <w:r>
              <w:rPr>
                <w:rFonts w:ascii="Segoe UI" w:hAnsi="Segoe UI"/>
                <w:b/>
                <w:color w:val="FFFFFF"/>
                <w:sz w:val="17"/>
              </w:rPr>
              <w:t>Space Complexity</w:t>
            </w:r>
          </w:p>
        </w:tc>
        <w:tc>
          <w:tcPr>
            <w:tcW w:type="dxa" w:w="1950"/>
            <w:shd w:fill="0F172A"/>
            <w:tcMar>
              <w:top w:w="100" w:type="dxa"/>
              <w:bottom w:w="100" w:type="dxa"/>
              <w:left w:w="100" w:type="dxa"/>
              <w:right w:w="100" w:type="dxa"/>
            </w:tcMar>
          </w:tcPr>
          <w:p>
            <w:r>
              <w:rPr>
                <w:rFonts w:ascii="Segoe UI" w:hAnsi="Segoe UI"/>
                <w:b/>
                <w:color w:val="FFFFFF"/>
                <w:sz w:val="17"/>
              </w:rPr>
              <w:t>Operational Role in RescueGrid</w:t>
            </w:r>
          </w:p>
        </w:tc>
      </w:tr>
      <w:tr>
        <w:tc>
          <w:tcPr>
            <w:tcW w:type="dxa" w:w="1950"/>
            <w:shd w:fill="F8FAFC"/>
            <w:tcMar>
              <w:top w:w="80" w:type="dxa"/>
              <w:bottom w:w="80" w:type="dxa"/>
              <w:left w:w="100" w:type="dxa"/>
              <w:right w:w="100" w:type="dxa"/>
            </w:tcMar>
          </w:tcPr>
          <w:p>
            <w:r>
              <w:rPr>
                <w:rFonts w:ascii="Segoe UI" w:hAnsi="Segoe UI"/>
                <w:color w:val="0F172A"/>
                <w:sz w:val="16"/>
              </w:rPr>
              <w:t>Merge Sort</w:t>
            </w:r>
          </w:p>
        </w:tc>
        <w:tc>
          <w:tcPr>
            <w:tcW w:type="dxa" w:w="1950"/>
            <w:shd w:fill="F8FAFC"/>
            <w:tcMar>
              <w:top w:w="80" w:type="dxa"/>
              <w:bottom w:w="80" w:type="dxa"/>
              <w:left w:w="100" w:type="dxa"/>
              <w:right w:w="100" w:type="dxa"/>
            </w:tcMar>
          </w:tcPr>
          <w:p>
            <w:r>
              <w:rPr>
                <w:rFonts w:ascii="Segoe UI" w:hAnsi="Segoe UI"/>
                <w:color w:val="0F172A"/>
                <w:sz w:val="16"/>
              </w:rPr>
              <w:t>Divide &amp; Conquer</w:t>
            </w:r>
          </w:p>
        </w:tc>
        <w:tc>
          <w:tcPr>
            <w:tcW w:type="dxa" w:w="1950"/>
            <w:shd w:fill="F8FAFC"/>
            <w:tcMar>
              <w:top w:w="80" w:type="dxa"/>
              <w:bottom w:w="80" w:type="dxa"/>
              <w:left w:w="100" w:type="dxa"/>
              <w:right w:w="100" w:type="dxa"/>
            </w:tcMar>
          </w:tcPr>
          <w:p>
            <w:r>
              <w:rPr>
                <w:rFonts w:ascii="Segoe UI" w:hAnsi="Segoe UI"/>
                <w:color w:val="0F172A"/>
                <w:sz w:val="16"/>
              </w:rPr>
              <w:t>O(R log R)</w:t>
            </w:r>
          </w:p>
        </w:tc>
        <w:tc>
          <w:tcPr>
            <w:tcW w:type="dxa" w:w="1950"/>
            <w:shd w:fill="F8FAFC"/>
            <w:tcMar>
              <w:top w:w="80" w:type="dxa"/>
              <w:bottom w:w="80" w:type="dxa"/>
              <w:left w:w="100" w:type="dxa"/>
              <w:right w:w="100" w:type="dxa"/>
            </w:tcMar>
          </w:tcPr>
          <w:p>
            <w:r>
              <w:rPr>
                <w:rFonts w:ascii="Segoe UI" w:hAnsi="Segoe UI"/>
                <w:color w:val="0F172A"/>
                <w:sz w:val="16"/>
              </w:rPr>
              <w:t>O(R)</w:t>
            </w:r>
          </w:p>
        </w:tc>
        <w:tc>
          <w:tcPr>
            <w:tcW w:type="dxa" w:w="1950"/>
            <w:shd w:fill="F8FAFC"/>
            <w:tcMar>
              <w:top w:w="80" w:type="dxa"/>
              <w:bottom w:w="80" w:type="dxa"/>
              <w:left w:w="100" w:type="dxa"/>
              <w:right w:w="100" w:type="dxa"/>
            </w:tcMar>
          </w:tcPr>
          <w:p>
            <w:r>
              <w:rPr>
                <w:rFonts w:ascii="Segoe UI" w:hAnsi="Segoe UI"/>
                <w:color w:val="0F172A"/>
                <w:sz w:val="16"/>
              </w:rPr>
              <w:t>Multi-criterion triage ranking of emergency incidents</w:t>
            </w:r>
          </w:p>
        </w:tc>
      </w:tr>
      <w:tr>
        <w:tc>
          <w:tcPr>
            <w:tcW w:type="dxa" w:w="1950"/>
            <w:shd w:fill="FFFFFF"/>
            <w:tcMar>
              <w:top w:w="80" w:type="dxa"/>
              <w:bottom w:w="80" w:type="dxa"/>
              <w:left w:w="100" w:type="dxa"/>
              <w:right w:w="100" w:type="dxa"/>
            </w:tcMar>
          </w:tcPr>
          <w:p>
            <w:r>
              <w:rPr>
                <w:rFonts w:ascii="Segoe UI" w:hAnsi="Segoe UI"/>
                <w:color w:val="0F172A"/>
                <w:sz w:val="16"/>
              </w:rPr>
              <w:t>Bellman-Ford</w:t>
            </w:r>
          </w:p>
        </w:tc>
        <w:tc>
          <w:tcPr>
            <w:tcW w:type="dxa" w:w="1950"/>
            <w:shd w:fill="FFFFFF"/>
            <w:tcMar>
              <w:top w:w="80" w:type="dxa"/>
              <w:bottom w:w="80" w:type="dxa"/>
              <w:left w:w="100" w:type="dxa"/>
              <w:right w:w="100" w:type="dxa"/>
            </w:tcMar>
          </w:tcPr>
          <w:p>
            <w:r>
              <w:rPr>
                <w:rFonts w:ascii="Segoe UI" w:hAnsi="Segoe UI"/>
                <w:color w:val="0F172A"/>
                <w:sz w:val="16"/>
              </w:rPr>
              <w:t>Dynamic Programming</w:t>
            </w:r>
          </w:p>
        </w:tc>
        <w:tc>
          <w:tcPr>
            <w:tcW w:type="dxa" w:w="1950"/>
            <w:shd w:fill="FFFFFF"/>
            <w:tcMar>
              <w:top w:w="80" w:type="dxa"/>
              <w:bottom w:w="80" w:type="dxa"/>
              <w:left w:w="100" w:type="dxa"/>
              <w:right w:w="100" w:type="dxa"/>
            </w:tcMar>
          </w:tcPr>
          <w:p>
            <w:r>
              <w:rPr>
                <w:rFonts w:ascii="Segoe UI" w:hAnsi="Segoe UI"/>
                <w:color w:val="0F172A"/>
                <w:sz w:val="16"/>
              </w:rPr>
              <w:t>O(V · E)</w:t>
            </w:r>
          </w:p>
        </w:tc>
        <w:tc>
          <w:tcPr>
            <w:tcW w:type="dxa" w:w="1950"/>
            <w:shd w:fill="FFFFFF"/>
            <w:tcMar>
              <w:top w:w="80" w:type="dxa"/>
              <w:bottom w:w="80" w:type="dxa"/>
              <w:left w:w="100" w:type="dxa"/>
              <w:right w:w="100" w:type="dxa"/>
            </w:tcMar>
          </w:tcPr>
          <w:p>
            <w:r>
              <w:rPr>
                <w:rFonts w:ascii="Segoe UI" w:hAnsi="Segoe UI"/>
                <w:color w:val="0F172A"/>
                <w:sz w:val="16"/>
              </w:rPr>
              <w:t>O(V)</w:t>
            </w:r>
          </w:p>
        </w:tc>
        <w:tc>
          <w:tcPr>
            <w:tcW w:type="dxa" w:w="1950"/>
            <w:shd w:fill="FFFFFF"/>
            <w:tcMar>
              <w:top w:w="80" w:type="dxa"/>
              <w:bottom w:w="80" w:type="dxa"/>
              <w:left w:w="100" w:type="dxa"/>
              <w:right w:w="100" w:type="dxa"/>
            </w:tcMar>
          </w:tcPr>
          <w:p>
            <w:r>
              <w:rPr>
                <w:rFonts w:ascii="Segoe UI" w:hAnsi="Segoe UI"/>
                <w:color w:val="0F172A"/>
                <w:sz w:val="16"/>
              </w:rPr>
              <w:t>Shortest safe transit routing bypassing blocked road hazards</w:t>
            </w:r>
          </w:p>
        </w:tc>
      </w:tr>
      <w:tr>
        <w:tc>
          <w:tcPr>
            <w:tcW w:type="dxa" w:w="1950"/>
            <w:shd w:fill="F8FAFC"/>
            <w:tcMar>
              <w:top w:w="80" w:type="dxa"/>
              <w:bottom w:w="80" w:type="dxa"/>
              <w:left w:w="100" w:type="dxa"/>
              <w:right w:w="100" w:type="dxa"/>
            </w:tcMar>
          </w:tcPr>
          <w:p>
            <w:r>
              <w:rPr>
                <w:rFonts w:ascii="Segoe UI" w:hAnsi="Segoe UI"/>
                <w:color w:val="0F172A"/>
                <w:sz w:val="16"/>
              </w:rPr>
              <w:t>0/1 Knapsack</w:t>
            </w:r>
          </w:p>
        </w:tc>
        <w:tc>
          <w:tcPr>
            <w:tcW w:type="dxa" w:w="1950"/>
            <w:shd w:fill="F8FAFC"/>
            <w:tcMar>
              <w:top w:w="80" w:type="dxa"/>
              <w:bottom w:w="80" w:type="dxa"/>
              <w:left w:w="100" w:type="dxa"/>
              <w:right w:w="100" w:type="dxa"/>
            </w:tcMar>
          </w:tcPr>
          <w:p>
            <w:r>
              <w:rPr>
                <w:rFonts w:ascii="Segoe UI" w:hAnsi="Segoe UI"/>
                <w:color w:val="0F172A"/>
                <w:sz w:val="16"/>
              </w:rPr>
              <w:t>Dynamic Programming</w:t>
            </w:r>
          </w:p>
        </w:tc>
        <w:tc>
          <w:tcPr>
            <w:tcW w:type="dxa" w:w="1950"/>
            <w:shd w:fill="F8FAFC"/>
            <w:tcMar>
              <w:top w:w="80" w:type="dxa"/>
              <w:bottom w:w="80" w:type="dxa"/>
              <w:left w:w="100" w:type="dxa"/>
              <w:right w:w="100" w:type="dxa"/>
            </w:tcMar>
          </w:tcPr>
          <w:p>
            <w:r>
              <w:rPr>
                <w:rFonts w:ascii="Segoe UI" w:hAnsi="Segoe UI"/>
                <w:color w:val="0F172A"/>
                <w:sz w:val="16"/>
              </w:rPr>
              <w:t>O(N · W)</w:t>
            </w:r>
          </w:p>
        </w:tc>
        <w:tc>
          <w:tcPr>
            <w:tcW w:type="dxa" w:w="1950"/>
            <w:shd w:fill="F8FAFC"/>
            <w:tcMar>
              <w:top w:w="80" w:type="dxa"/>
              <w:bottom w:w="80" w:type="dxa"/>
              <w:left w:w="100" w:type="dxa"/>
              <w:right w:w="100" w:type="dxa"/>
            </w:tcMar>
          </w:tcPr>
          <w:p>
            <w:r>
              <w:rPr>
                <w:rFonts w:ascii="Segoe UI" w:hAnsi="Segoe UI"/>
                <w:color w:val="0F172A"/>
                <w:sz w:val="16"/>
              </w:rPr>
              <w:t>O(N · W)</w:t>
            </w:r>
          </w:p>
        </w:tc>
        <w:tc>
          <w:tcPr>
            <w:tcW w:type="dxa" w:w="1950"/>
            <w:shd w:fill="F8FAFC"/>
            <w:tcMar>
              <w:top w:w="80" w:type="dxa"/>
              <w:bottom w:w="80" w:type="dxa"/>
              <w:left w:w="100" w:type="dxa"/>
              <w:right w:w="100" w:type="dxa"/>
            </w:tcMar>
          </w:tcPr>
          <w:p>
            <w:r>
              <w:rPr>
                <w:rFonts w:ascii="Segoe UI" w:hAnsi="Segoe UI"/>
                <w:color w:val="0F172A"/>
                <w:sz w:val="16"/>
              </w:rPr>
              <w:t>Relief cargo optimization under rigid vehicle payload limits</w:t>
            </w:r>
          </w:p>
        </w:tc>
      </w:tr>
      <w:tr>
        <w:tc>
          <w:tcPr>
            <w:tcW w:type="dxa" w:w="1950"/>
            <w:shd w:fill="FFFFFF"/>
            <w:tcMar>
              <w:top w:w="80" w:type="dxa"/>
              <w:bottom w:w="80" w:type="dxa"/>
              <w:left w:w="100" w:type="dxa"/>
              <w:right w:w="100" w:type="dxa"/>
            </w:tcMar>
          </w:tcPr>
          <w:p>
            <w:r>
              <w:rPr>
                <w:rFonts w:ascii="Segoe UI" w:hAnsi="Segoe UI"/>
                <w:color w:val="0F172A"/>
                <w:sz w:val="16"/>
              </w:rPr>
              <w:t>Backtracking</w:t>
            </w:r>
          </w:p>
        </w:tc>
        <w:tc>
          <w:tcPr>
            <w:tcW w:type="dxa" w:w="1950"/>
            <w:shd w:fill="FFFFFF"/>
            <w:tcMar>
              <w:top w:w="80" w:type="dxa"/>
              <w:bottom w:w="80" w:type="dxa"/>
              <w:left w:w="100" w:type="dxa"/>
              <w:right w:w="100" w:type="dxa"/>
            </w:tcMar>
          </w:tcPr>
          <w:p>
            <w:r>
              <w:rPr>
                <w:rFonts w:ascii="Segoe UI" w:hAnsi="Segoe UI"/>
                <w:color w:val="0F172A"/>
                <w:sz w:val="16"/>
              </w:rPr>
              <w:t>State Space Search</w:t>
            </w:r>
          </w:p>
        </w:tc>
        <w:tc>
          <w:tcPr>
            <w:tcW w:type="dxa" w:w="1950"/>
            <w:shd w:fill="FFFFFF"/>
            <w:tcMar>
              <w:top w:w="80" w:type="dxa"/>
              <w:bottom w:w="80" w:type="dxa"/>
              <w:left w:w="100" w:type="dxa"/>
              <w:right w:w="100" w:type="dxa"/>
            </w:tcMar>
          </w:tcPr>
          <w:p>
            <w:r>
              <w:rPr>
                <w:rFonts w:ascii="Segoe UI" w:hAnsi="Segoe UI"/>
                <w:color w:val="0F172A"/>
                <w:sz w:val="16"/>
              </w:rPr>
              <w:t>O(M^N) worst (pruned)</w:t>
            </w:r>
          </w:p>
        </w:tc>
        <w:tc>
          <w:tcPr>
            <w:tcW w:type="dxa" w:w="1950"/>
            <w:shd w:fill="FFFFFF"/>
            <w:tcMar>
              <w:top w:w="80" w:type="dxa"/>
              <w:bottom w:w="80" w:type="dxa"/>
              <w:left w:w="100" w:type="dxa"/>
              <w:right w:w="100" w:type="dxa"/>
            </w:tcMar>
          </w:tcPr>
          <w:p>
            <w:r>
              <w:rPr>
                <w:rFonts w:ascii="Segoe UI" w:hAnsi="Segoe UI"/>
                <w:color w:val="0F172A"/>
                <w:sz w:val="16"/>
              </w:rPr>
              <w:t>O(N) recursion</w:t>
            </w:r>
          </w:p>
        </w:tc>
        <w:tc>
          <w:tcPr>
            <w:tcW w:type="dxa" w:w="1950"/>
            <w:shd w:fill="FFFFFF"/>
            <w:tcMar>
              <w:top w:w="80" w:type="dxa"/>
              <w:bottom w:w="80" w:type="dxa"/>
              <w:left w:w="100" w:type="dxa"/>
              <w:right w:w="100" w:type="dxa"/>
            </w:tcMar>
          </w:tcPr>
          <w:p>
            <w:r>
              <w:rPr>
                <w:rFonts w:ascii="Segoe UI" w:hAnsi="Segoe UI"/>
                <w:color w:val="0F172A"/>
                <w:sz w:val="16"/>
              </w:rPr>
              <w:t>Constraint-satisfaction assignment of specialized rescue teams</w:t>
            </w:r>
          </w:p>
        </w:tc>
      </w:tr>
    </w:tbl>
    <w:p/>
    <w:p>
      <w:pPr>
        <w:pStyle w:val="Heading1"/>
      </w:pPr>
      <w:r>
        <w:rPr>
          <w:rFonts w:ascii="Segoe UI" w:hAnsi="Segoe UI"/>
          <w:b/>
          <w:color w:val="0E7490"/>
          <w:sz w:val="30"/>
        </w:rPr>
        <w:t>3. Application Screenshots &amp; Interface Walkthrough</w:t>
      </w:r>
    </w:p>
    <w:p>
      <w:pPr>
        <w:spacing w:line="276" w:lineRule="auto"/>
      </w:pPr>
      <w:r>
        <w:t>Below are genuine high-resolution screenshots captured directly from the live running RescueGrid application. Each screen demonstrates an integral functional module of the system.</w:t>
      </w:r>
    </w:p>
    <w:p>
      <w:pPr>
        <w:pStyle w:val="Heading2"/>
      </w:pPr>
      <w:r>
        <w:rPr>
          <w:rFonts w:ascii="Segoe UI" w:hAnsi="Segoe UI"/>
          <w:b/>
          <w:color w:val="0F172A"/>
          <w:sz w:val="22"/>
        </w:rPr>
        <w:t>Figure 1: Platform Mode Selection (Option A Custom Builder vs Option B Predefined Demos)</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mode_selection.png"/>
                    <pic:cNvPicPr/>
                  </pic:nvPicPr>
                  <pic:blipFill>
                    <a:blip r:embed="rId9"/>
                    <a:stretch>
                      <a:fillRect/>
                    </a:stretch>
                  </pic:blipFill>
                  <pic:spPr>
                    <a:xfrm>
                      <a:off x="0" y="0"/>
                      <a:ext cx="5669280" cy="3543300"/>
                    </a:xfrm>
                    <a:prstGeom prst="rect"/>
                  </pic:spPr>
                </pic:pic>
              </a:graphicData>
            </a:graphic>
          </wp:inline>
        </w:drawing>
      </w:r>
    </w:p>
    <w:p>
      <w:pPr>
        <w:spacing w:line="276" w:lineRule="auto"/>
      </w:pPr>
      <w:r>
        <w:rPr>
          <w:rFonts w:ascii="Segoe UI" w:hAnsi="Segoe UI"/>
          <w:i/>
          <w:color w:val="475569"/>
          <w:sz w:val="19"/>
        </w:rPr>
        <w:t>The landing view provides operators with two pathways: Option A for full granular control via the Scenario Builder, and Option B for one-click launching of 4 pre-engineered disaster scenarios that test critical conditions like severe debris blockages and supply bottlenecks.</w:t>
      </w:r>
    </w:p>
    <w:p/>
    <w:p>
      <w:pPr>
        <w:pStyle w:val="Heading2"/>
      </w:pPr>
      <w:r>
        <w:rPr>
          <w:rFonts w:ascii="Segoe UI" w:hAnsi="Segoe UI"/>
          <w:b/>
          <w:color w:val="0F172A"/>
          <w:sz w:val="22"/>
        </w:rPr>
        <w:t>Figure 2: Clean Scenario Builder Canvas (Option A User Input Starting State)</w:t>
      </w:r>
    </w:p>
    <w:p>
      <w:pPr>
        <w:jc w:val="center"/>
      </w:pPr>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scenario_builder_blank.png"/>
                    <pic:cNvPicPr/>
                  </pic:nvPicPr>
                  <pic:blipFill>
                    <a:blip r:embed="rId10"/>
                    <a:stretch>
                      <a:fillRect/>
                    </a:stretch>
                  </pic:blipFill>
                  <pic:spPr>
                    <a:xfrm>
                      <a:off x="0" y="0"/>
                      <a:ext cx="5669280" cy="3543300"/>
                    </a:xfrm>
                    <a:prstGeom prst="rect"/>
                  </pic:spPr>
                </pic:pic>
              </a:graphicData>
            </a:graphic>
          </wp:inline>
        </w:drawing>
      </w:r>
    </w:p>
    <w:p>
      <w:pPr>
        <w:spacing w:line="276" w:lineRule="auto"/>
      </w:pPr>
      <w:r>
        <w:rPr>
          <w:rFonts w:ascii="Segoe UI" w:hAnsi="Segoe UI"/>
          <w:i/>
          <w:color w:val="475569"/>
          <w:sz w:val="19"/>
        </w:rPr>
        <w:t>Upon selecting Option A, the system initializes a clean canvas with 0 incidents, 0 teams, and 0 relief packages. The interactive town road network is fully loaded, allowing users to toggle road blockages and enter custom emergency parameters from scratch.</w:t>
      </w:r>
    </w:p>
    <w:p/>
    <w:p>
      <w:pPr>
        <w:pStyle w:val="Heading2"/>
      </w:pPr>
      <w:r>
        <w:rPr>
          <w:rFonts w:ascii="Segoe UI" w:hAnsi="Segoe UI"/>
          <w:b/>
          <w:color w:val="0F172A"/>
          <w:sz w:val="22"/>
        </w:rPr>
        <w:t>Figure 3: Configured Disaster Scenario with Custom Incidents, Teams, and Road Hazards</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scenario_builder_configured.png"/>
                    <pic:cNvPicPr/>
                  </pic:nvPicPr>
                  <pic:blipFill>
                    <a:blip r:embed="rId11"/>
                    <a:stretch>
                      <a:fillRect/>
                    </a:stretch>
                  </pic:blipFill>
                  <pic:spPr>
                    <a:xfrm>
                      <a:off x="0" y="0"/>
                      <a:ext cx="5669280" cy="3543300"/>
                    </a:xfrm>
                    <a:prstGeom prst="rect"/>
                  </pic:spPr>
                </pic:pic>
              </a:graphicData>
            </a:graphic>
          </wp:inline>
        </w:drawing>
      </w:r>
    </w:p>
    <w:p>
      <w:pPr>
        <w:spacing w:line="276" w:lineRule="auto"/>
      </w:pPr>
      <w:r>
        <w:rPr>
          <w:rFonts w:ascii="Segoe UI" w:hAnsi="Segoe UI"/>
          <w:i/>
          <w:color w:val="475569"/>
          <w:sz w:val="19"/>
        </w:rPr>
        <w:t>Operators can input custom incident parameters (location, casualty count, urgency rating, medical flags), register specialized rescue squads (paramedic, flood, general), allocate relief packages, and block roads by clicking road segments directly on the SVG map.</w:t>
      </w:r>
    </w:p>
    <w:p/>
    <w:p>
      <w:pPr>
        <w:pStyle w:val="Heading2"/>
      </w:pPr>
      <w:r>
        <w:rPr>
          <w:rFonts w:ascii="Segoe UI" w:hAnsi="Segoe UI"/>
          <w:b/>
          <w:color w:val="0F172A"/>
          <w:sz w:val="22"/>
        </w:rPr>
        <w:t>Figure 4: Pre-Flight Mission Verification &amp; Resource Review Modal</w:t>
      </w:r>
    </w:p>
    <w:p>
      <w:pPr>
        <w:jc w:val="center"/>
      </w:pPr>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mission_review.png"/>
                    <pic:cNvPicPr/>
                  </pic:nvPicPr>
                  <pic:blipFill>
                    <a:blip r:embed="rId12"/>
                    <a:stretch>
                      <a:fillRect/>
                    </a:stretch>
                  </pic:blipFill>
                  <pic:spPr>
                    <a:xfrm>
                      <a:off x="0" y="0"/>
                      <a:ext cx="5669280" cy="3543300"/>
                    </a:xfrm>
                    <a:prstGeom prst="rect"/>
                  </pic:spPr>
                </pic:pic>
              </a:graphicData>
            </a:graphic>
          </wp:inline>
        </w:drawing>
      </w:r>
    </w:p>
    <w:p>
      <w:pPr>
        <w:spacing w:line="276" w:lineRule="auto"/>
      </w:pPr>
      <w:r>
        <w:rPr>
          <w:rFonts w:ascii="Segoe UI" w:hAnsi="Segoe UI"/>
          <w:i/>
          <w:color w:val="475569"/>
          <w:sz w:val="19"/>
        </w:rPr>
        <w:t>Before initiating algorithms, the mission review screen validates system parameters: verifying at least 1 incident and 1 team exist, auditing road connectivity, and calculating total affected casualties and aggregate relief weight.</w:t>
      </w:r>
    </w:p>
    <w:p/>
    <w:p>
      <w:pPr>
        <w:pStyle w:val="Heading2"/>
      </w:pPr>
      <w:r>
        <w:rPr>
          <w:rFonts w:ascii="Segoe UI" w:hAnsi="Segoe UI"/>
          <w:b/>
          <w:color w:val="0F172A"/>
          <w:sz w:val="22"/>
        </w:rPr>
        <w:t>Figure 5: Operations Command Dashboard &amp; Active Simulation Center</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simulation_dashboard.png"/>
                    <pic:cNvPicPr/>
                  </pic:nvPicPr>
                  <pic:blipFill>
                    <a:blip r:embed="rId13"/>
                    <a:stretch>
                      <a:fillRect/>
                    </a:stretch>
                  </pic:blipFill>
                  <pic:spPr>
                    <a:xfrm>
                      <a:off x="0" y="0"/>
                      <a:ext cx="5669280" cy="3543300"/>
                    </a:xfrm>
                    <a:prstGeom prst="rect"/>
                  </pic:spPr>
                </pic:pic>
              </a:graphicData>
            </a:graphic>
          </wp:inline>
        </w:drawing>
      </w:r>
    </w:p>
    <w:p>
      <w:pPr>
        <w:spacing w:line="276" w:lineRule="auto"/>
      </w:pPr>
      <w:r>
        <w:rPr>
          <w:rFonts w:ascii="Segoe UI" w:hAnsi="Segoe UI"/>
          <w:i/>
          <w:color w:val="475569"/>
          <w:sz w:val="19"/>
        </w:rPr>
        <w:t>The primary command center integrates the SVG town map, the Merge-Sort-ordered priority queue on the left, and the live status panel on the right. Operators can monitor live incident triage, dispatched teams, active shortest paths in neon cyan, and knapsack cargo allocations.</w:t>
      </w:r>
    </w:p>
    <w:p/>
    <w:p>
      <w:pPr>
        <w:pStyle w:val="Heading2"/>
      </w:pPr>
      <w:r>
        <w:rPr>
          <w:rFonts w:ascii="Segoe UI" w:hAnsi="Segoe UI"/>
          <w:b/>
          <w:color w:val="0F172A"/>
          <w:sz w:val="22"/>
        </w:rPr>
        <w:t>Figure 6: Interactive Town Map &amp; Road Network Topological Graph</w:t>
      </w:r>
    </w:p>
    <w:p>
      <w:pPr>
        <w:jc w:val="center"/>
      </w:pPr>
      <w:r>
        <w:drawing>
          <wp:inline xmlns:a="http://schemas.openxmlformats.org/drawingml/2006/main" xmlns:pic="http://schemas.openxmlformats.org/drawingml/2006/picture">
            <wp:extent cx="5669280" cy="5116180"/>
            <wp:docPr id="6" name="Picture 6"/>
            <wp:cNvGraphicFramePr>
              <a:graphicFrameLocks noChangeAspect="1"/>
            </wp:cNvGraphicFramePr>
            <a:graphic>
              <a:graphicData uri="http://schemas.openxmlformats.org/drawingml/2006/picture">
                <pic:pic>
                  <pic:nvPicPr>
                    <pic:cNvPr id="0" name="06_interactive_town_map.png"/>
                    <pic:cNvPicPr/>
                  </pic:nvPicPr>
                  <pic:blipFill>
                    <a:blip r:embed="rId14"/>
                    <a:stretch>
                      <a:fillRect/>
                    </a:stretch>
                  </pic:blipFill>
                  <pic:spPr>
                    <a:xfrm>
                      <a:off x="0" y="0"/>
                      <a:ext cx="5669280" cy="5116180"/>
                    </a:xfrm>
                    <a:prstGeom prst="rect"/>
                  </pic:spPr>
                </pic:pic>
              </a:graphicData>
            </a:graphic>
          </wp:inline>
        </w:drawing>
      </w:r>
    </w:p>
    <w:p>
      <w:pPr>
        <w:spacing w:line="276" w:lineRule="auto"/>
      </w:pPr>
      <w:r>
        <w:rPr>
          <w:rFonts w:ascii="Segoe UI" w:hAnsi="Segoe UI"/>
          <w:i/>
          <w:color w:val="475569"/>
          <w:sz w:val="19"/>
        </w:rPr>
        <w:t>The SVG graph engine renders 13 municipal nodes and 19 road segments with transit costs in minutes. Blocked roads are rendered in bright red with hazard icons, while the active optimal transit route from HQ to the selected emergency is highlighted in dynamic cyan.</w:t>
      </w:r>
    </w:p>
    <w:p/>
    <w:p>
      <w:pPr>
        <w:pStyle w:val="Heading2"/>
      </w:pPr>
      <w:r>
        <w:rPr>
          <w:rFonts w:ascii="Segoe UI" w:hAnsi="Segoe UI"/>
          <w:b/>
          <w:color w:val="0F172A"/>
          <w:sz w:val="22"/>
        </w:rPr>
        <w:t>Figure 7: Incident Priority Queue (Multi-Criterion Merge Sort Triage)</w:t>
      </w:r>
    </w:p>
    <w:p>
      <w:pPr>
        <w:jc w:val="center"/>
      </w:pPr>
      <w:r>
        <w:drawing>
          <wp:inline xmlns:a="http://schemas.openxmlformats.org/drawingml/2006/main" xmlns:pic="http://schemas.openxmlformats.org/drawingml/2006/picture">
            <wp:extent cx="5669280" cy="18728871"/>
            <wp:docPr id="7" name="Picture 7"/>
            <wp:cNvGraphicFramePr>
              <a:graphicFrameLocks noChangeAspect="1"/>
            </wp:cNvGraphicFramePr>
            <a:graphic>
              <a:graphicData uri="http://schemas.openxmlformats.org/drawingml/2006/picture">
                <pic:pic>
                  <pic:nvPicPr>
                    <pic:cNvPr id="0" name="07_priority_triage_queue.png"/>
                    <pic:cNvPicPr/>
                  </pic:nvPicPr>
                  <pic:blipFill>
                    <a:blip r:embed="rId15"/>
                    <a:stretch>
                      <a:fillRect/>
                    </a:stretch>
                  </pic:blipFill>
                  <pic:spPr>
                    <a:xfrm>
                      <a:off x="0" y="0"/>
                      <a:ext cx="5669280" cy="18728871"/>
                    </a:xfrm>
                    <a:prstGeom prst="rect"/>
                  </pic:spPr>
                </pic:pic>
              </a:graphicData>
            </a:graphic>
          </wp:inline>
        </w:drawing>
      </w:r>
    </w:p>
    <w:p>
      <w:pPr>
        <w:spacing w:line="276" w:lineRule="auto"/>
      </w:pPr>
      <w:r>
        <w:rPr>
          <w:rFonts w:ascii="Segoe UI" w:hAnsi="Segoe UI"/>
          <w:i/>
          <w:color w:val="475569"/>
          <w:sz w:val="19"/>
        </w:rPr>
        <w:t>The left sidebar displays emergencies sorted strictly by the 5-tier Merge Sort comparator. Each incident card indicates rank (#1, #2, #3), urgency badges (Critical, High, Medium), medical status chips, casualty figures, and live fulfillment state (Waiting, In Progress, Completed).</w:t>
      </w:r>
    </w:p>
    <w:p/>
    <w:p>
      <w:pPr>
        <w:pStyle w:val="Heading2"/>
      </w:pPr>
      <w:r>
        <w:rPr>
          <w:rFonts w:ascii="Segoe UI" w:hAnsi="Segoe UI"/>
          <w:b/>
          <w:color w:val="0F172A"/>
          <w:sz w:val="22"/>
        </w:rPr>
        <w:t>Figure 8: Relief Cargo Allocation (0/1 Knapsack) &amp; Dynamic Team Dispatch</w:t>
      </w:r>
    </w:p>
    <w:p>
      <w:pPr>
        <w:jc w:val="center"/>
      </w:pPr>
      <w:r>
        <w:drawing>
          <wp:inline xmlns:a="http://schemas.openxmlformats.org/drawingml/2006/main" xmlns:pic="http://schemas.openxmlformats.org/drawingml/2006/picture">
            <wp:extent cx="5669280" cy="17480280"/>
            <wp:docPr id="8" name="Picture 8"/>
            <wp:cNvGraphicFramePr>
              <a:graphicFrameLocks noChangeAspect="1"/>
            </wp:cNvGraphicFramePr>
            <a:graphic>
              <a:graphicData uri="http://schemas.openxmlformats.org/drawingml/2006/picture">
                <pic:pic>
                  <pic:nvPicPr>
                    <pic:cNvPr id="0" name="08_resource_allocation_details.png"/>
                    <pic:cNvPicPr/>
                  </pic:nvPicPr>
                  <pic:blipFill>
                    <a:blip r:embed="rId16"/>
                    <a:stretch>
                      <a:fillRect/>
                    </a:stretch>
                  </pic:blipFill>
                  <pic:spPr>
                    <a:xfrm>
                      <a:off x="0" y="0"/>
                      <a:ext cx="5669280" cy="17480280"/>
                    </a:xfrm>
                    <a:prstGeom prst="rect"/>
                  </pic:spPr>
                </pic:pic>
              </a:graphicData>
            </a:graphic>
          </wp:inline>
        </w:drawing>
      </w:r>
    </w:p>
    <w:p>
      <w:pPr>
        <w:spacing w:line="276" w:lineRule="auto"/>
      </w:pPr>
      <w:r>
        <w:rPr>
          <w:rFonts w:ascii="Segoe UI" w:hAnsi="Segoe UI"/>
          <w:i/>
          <w:color w:val="475569"/>
          <w:sz w:val="19"/>
        </w:rPr>
        <w:t>The right operations panel details the selected incident's Bellman-Ford shortest path (HQ → Hotel → Market, cost: 7 min), assigned team (Bravo General), and optimal 0/1 Knapsack payload (15/15 units packed, delivering 49 total casualty support points).</w:t>
      </w:r>
    </w:p>
    <w:p/>
    <w:p>
      <w:pPr>
        <w:pStyle w:val="Heading2"/>
      </w:pPr>
      <w:r>
        <w:rPr>
          <w:rFonts w:ascii="Segoe UI" w:hAnsi="Segoe UI"/>
          <w:b/>
          <w:color w:val="0F172A"/>
          <w:sz w:val="22"/>
        </w:rPr>
        <w:t>Figure 9: Step-by-Step Algorithm Visualizer — Merge Sort Divide &amp; Conquer Tree</w:t>
      </w:r>
    </w:p>
    <w:p>
      <w:pPr>
        <w:jc w:val="center"/>
      </w:pPr>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10_algo_visualizer_merge_sort.png"/>
                    <pic:cNvPicPr/>
                  </pic:nvPicPr>
                  <pic:blipFill>
                    <a:blip r:embed="rId17"/>
                    <a:stretch>
                      <a:fillRect/>
                    </a:stretch>
                  </pic:blipFill>
                  <pic:spPr>
                    <a:xfrm>
                      <a:off x="0" y="0"/>
                      <a:ext cx="5669280" cy="3543300"/>
                    </a:xfrm>
                    <a:prstGeom prst="rect"/>
                  </pic:spPr>
                </pic:pic>
              </a:graphicData>
            </a:graphic>
          </wp:inline>
        </w:drawing>
      </w:r>
    </w:p>
    <w:p>
      <w:pPr>
        <w:spacing w:line="276" w:lineRule="auto"/>
      </w:pPr>
      <w:r>
        <w:rPr>
          <w:rFonts w:ascii="Segoe UI" w:hAnsi="Segoe UI"/>
          <w:i/>
          <w:color w:val="475569"/>
          <w:sz w:val="19"/>
        </w:rPr>
        <w:t>The interactive visualizer illustrates the recursive decomposition of incidents into tree subproblems, followed by pairwise merge steps with human-readable comparison reasoning justifying why each incident was prioritized.</w:t>
      </w:r>
    </w:p>
    <w:p/>
    <w:p>
      <w:pPr>
        <w:pStyle w:val="Heading2"/>
      </w:pPr>
      <w:r>
        <w:rPr>
          <w:rFonts w:ascii="Segoe UI" w:hAnsi="Segoe UI"/>
          <w:b/>
          <w:color w:val="0F172A"/>
          <w:sz w:val="22"/>
        </w:rPr>
        <w:t>Figure 10: Step-by-Step Algorithm Visualizer — Bellman-Ford Edge Relaxation Table</w:t>
      </w:r>
    </w:p>
    <w:p>
      <w:pPr>
        <w:jc w:val="center"/>
      </w:pPr>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11_algo_visualizer_bellman_ford.png"/>
                    <pic:cNvPicPr/>
                  </pic:nvPicPr>
                  <pic:blipFill>
                    <a:blip r:embed="rId18"/>
                    <a:stretch>
                      <a:fillRect/>
                    </a:stretch>
                  </pic:blipFill>
                  <pic:spPr>
                    <a:xfrm>
                      <a:off x="0" y="0"/>
                      <a:ext cx="5669280" cy="3543300"/>
                    </a:xfrm>
                    <a:prstGeom prst="rect"/>
                  </pic:spPr>
                </pic:pic>
              </a:graphicData>
            </a:graphic>
          </wp:inline>
        </w:drawing>
      </w:r>
    </w:p>
    <w:p>
      <w:pPr>
        <w:spacing w:line="276" w:lineRule="auto"/>
      </w:pPr>
      <w:r>
        <w:rPr>
          <w:rFonts w:ascii="Segoe UI" w:hAnsi="Segoe UI"/>
          <w:i/>
          <w:color w:val="475569"/>
          <w:sz w:val="19"/>
        </w:rPr>
        <w:t>An interactive edge relaxation inspector demonstrating dynamic programming passes over the graph. It highlights relaxed edges, compares candidate distances against current bests, and updates the distance array table snapshot in real time.</w:t>
      </w:r>
    </w:p>
    <w:p/>
    <w:p>
      <w:pPr>
        <w:pStyle w:val="Heading2"/>
      </w:pPr>
      <w:r>
        <w:rPr>
          <w:rFonts w:ascii="Segoe UI" w:hAnsi="Segoe UI"/>
          <w:b/>
          <w:color w:val="0F172A"/>
          <w:sz w:val="22"/>
        </w:rPr>
        <w:t>Figure 11: Step-by-Step Algorithm Visualizer — 0/1 Knapsack Dynamic Programming Matrix</w:t>
      </w:r>
    </w:p>
    <w:p>
      <w:pPr>
        <w:jc w:val="cente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12_algo_visualizer_knapsack_dp.png"/>
                    <pic:cNvPicPr/>
                  </pic:nvPicPr>
                  <pic:blipFill>
                    <a:blip r:embed="rId19"/>
                    <a:stretch>
                      <a:fillRect/>
                    </a:stretch>
                  </pic:blipFill>
                  <pic:spPr>
                    <a:xfrm>
                      <a:off x="0" y="0"/>
                      <a:ext cx="5669280" cy="3543300"/>
                    </a:xfrm>
                    <a:prstGeom prst="rect"/>
                  </pic:spPr>
                </pic:pic>
              </a:graphicData>
            </a:graphic>
          </wp:inline>
        </w:drawing>
      </w:r>
    </w:p>
    <w:p>
      <w:pPr>
        <w:spacing w:line="276" w:lineRule="auto"/>
      </w:pPr>
      <w:r>
        <w:rPr>
          <w:rFonts w:ascii="Segoe UI" w:hAnsi="Segoe UI"/>
          <w:i/>
          <w:color w:val="475569"/>
          <w:sz w:val="19"/>
        </w:rPr>
        <w:t>Renders the complete (N + 1) × (W + 1) DP state matrix. Cells are highlighted as the algorithm computes include-versus-exclude decisions, followed by yellow backtrack markers tracing the exact optimal cargo subset.</w:t>
      </w:r>
    </w:p>
    <w:p/>
    <w:p>
      <w:pPr>
        <w:pStyle w:val="Heading2"/>
      </w:pPr>
      <w:r>
        <w:rPr>
          <w:rFonts w:ascii="Segoe UI" w:hAnsi="Segoe UI"/>
          <w:b/>
          <w:color w:val="0F172A"/>
          <w:sz w:val="22"/>
        </w:rPr>
        <w:t>Figure 12: Step-by-Step Algorithm Visualizer — Team Assignment State Space Tree</w:t>
      </w:r>
    </w:p>
    <w:p>
      <w:pPr>
        <w:jc w:val="center"/>
      </w:pPr>
      <w:r>
        <w:drawing>
          <wp:inline xmlns:a="http://schemas.openxmlformats.org/drawingml/2006/main" xmlns:pic="http://schemas.openxmlformats.org/drawingml/2006/picture">
            <wp:extent cx="5669280" cy="3543300"/>
            <wp:docPr id="12" name="Picture 12"/>
            <wp:cNvGraphicFramePr>
              <a:graphicFrameLocks noChangeAspect="1"/>
            </wp:cNvGraphicFramePr>
            <a:graphic>
              <a:graphicData uri="http://schemas.openxmlformats.org/drawingml/2006/picture">
                <pic:pic>
                  <pic:nvPicPr>
                    <pic:cNvPr id="0" name="13_algo_visualizer_backtracking.png"/>
                    <pic:cNvPicPr/>
                  </pic:nvPicPr>
                  <pic:blipFill>
                    <a:blip r:embed="rId20"/>
                    <a:stretch>
                      <a:fillRect/>
                    </a:stretch>
                  </pic:blipFill>
                  <pic:spPr>
                    <a:xfrm>
                      <a:off x="0" y="0"/>
                      <a:ext cx="5669280" cy="3543300"/>
                    </a:xfrm>
                    <a:prstGeom prst="rect"/>
                  </pic:spPr>
                </pic:pic>
              </a:graphicData>
            </a:graphic>
          </wp:inline>
        </w:drawing>
      </w:r>
    </w:p>
    <w:p>
      <w:pPr>
        <w:spacing w:line="276" w:lineRule="auto"/>
      </w:pPr>
      <w:r>
        <w:rPr>
          <w:rFonts w:ascii="Segoe UI" w:hAnsi="Segoe UI"/>
          <w:i/>
          <w:color w:val="475569"/>
          <w:sz w:val="19"/>
        </w:rPr>
        <w:t>Visualizes the combinatorial backtracking tree. Green branches indicate valid skill matches, red branches depict constraint violations (unavailable or lacking skills) pruned immediately to prevent invalid dispatches, and final goal nodes indicate complete feasible assignments.</w:t>
      </w:r>
    </w:p>
    <w:p/>
    <w:p>
      <w:pPr>
        <w:pStyle w:val="Heading2"/>
      </w:pPr>
      <w:r>
        <w:rPr>
          <w:rFonts w:ascii="Segoe UI" w:hAnsi="Segoe UI"/>
          <w:b/>
          <w:color w:val="0F172A"/>
          <w:sz w:val="22"/>
        </w:rPr>
        <w:t>Figure 13: Comprehensive DAA Execution Audit &amp; Engineering Report</w:t>
      </w:r>
    </w:p>
    <w:p>
      <w:pPr>
        <w:jc w:val="center"/>
      </w:pPr>
      <w:r>
        <w:drawing>
          <wp:inline xmlns:a="http://schemas.openxmlformats.org/drawingml/2006/main" xmlns:pic="http://schemas.openxmlformats.org/drawingml/2006/picture">
            <wp:extent cx="5669280" cy="3543300"/>
            <wp:docPr id="13" name="Picture 13"/>
            <wp:cNvGraphicFramePr>
              <a:graphicFrameLocks noChangeAspect="1"/>
            </wp:cNvGraphicFramePr>
            <a:graphic>
              <a:graphicData uri="http://schemas.openxmlformats.org/drawingml/2006/picture">
                <pic:pic>
                  <pic:nvPicPr>
                    <pic:cNvPr id="0" name="14_daa_audit_report.png"/>
                    <pic:cNvPicPr/>
                  </pic:nvPicPr>
                  <pic:blipFill>
                    <a:blip r:embed="rId21"/>
                    <a:stretch>
                      <a:fillRect/>
                    </a:stretch>
                  </pic:blipFill>
                  <pic:spPr>
                    <a:xfrm>
                      <a:off x="0" y="0"/>
                      <a:ext cx="5669280" cy="3543300"/>
                    </a:xfrm>
                    <a:prstGeom prst="rect"/>
                  </pic:spPr>
                </pic:pic>
              </a:graphicData>
            </a:graphic>
          </wp:inline>
        </w:drawing>
      </w:r>
    </w:p>
    <w:p>
      <w:pPr>
        <w:spacing w:line="276" w:lineRule="auto"/>
      </w:pPr>
      <w:r>
        <w:rPr>
          <w:rFonts w:ascii="Segoe UI" w:hAnsi="Segoe UI"/>
          <w:i/>
          <w:color w:val="475569"/>
          <w:sz w:val="19"/>
        </w:rPr>
        <w:t>A formal printable engineering audit screen displaying high-level mission KPIs, incident outcome matrices (reachability, dispatched cargo, team assigned), road network audit logs, and theoretical-versus-empirical algorithm performance analyses.</w:t>
      </w:r>
    </w:p>
    <w:p/>
    <w:p>
      <w:pPr>
        <w:pStyle w:val="Heading1"/>
      </w:pPr>
      <w:r>
        <w:rPr>
          <w:rFonts w:ascii="Segoe UI" w:hAnsi="Segoe UI"/>
          <w:b/>
          <w:color w:val="0E7490"/>
          <w:sz w:val="30"/>
        </w:rPr>
        <w:t>4. Conclusion</w:t>
      </w:r>
    </w:p>
    <w:p>
      <w:pPr>
        <w:spacing w:line="276" w:lineRule="auto"/>
      </w:pPr>
      <w:r>
        <w:t>RescueGrid successfully demonstrates how classical algorithms taught in computer science form the core foundation of modern, life-saving disaster relief logistics. By combining Merge Sort for deterministic multi-criterion casualty triage, Bellman-Ford for resilient shortest-path routing around physical road hazards, 0/1 Knapsack Dynamic Programming for payload-constrained cargo maximization, and Backtracking for capability-matched team dispatch, the system transforms chaotic emergency response into an optimized, data-driven operation.</w:t>
        <w:br/>
        <w:br/>
        <w:t>The project bridges theoretical algorithm design and practical software engineering by offering both a clean, customizable user scenario builder and rich step-by-step visualizers. Automated test suites (28/28 tests passing) confirm deterministic correctness across all boundary conditions. RescueGrid provides an extensible blueprint for emergency management systems where every second and every kilogram of relief cargo directly impacts human lives.</w:t>
      </w:r>
    </w:p>
    <w:sectPr w:rsidR="00FC693F" w:rsidRPr="0006063C" w:rsidSect="00034616">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