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color w:val="999999"/>
          <w:sz w:val="20"/>
          <w:szCs w:val="20"/>
        </w:rPr>
        <w:t xml:space="preserve">冒険の書 — 生化学・免疫ラボクエスト 資料集(試作章)</w:t>
      </w:r>
    </w:p>
    <w:p>
      <w:pPr>
        <w:spacing w:after="240"/>
      </w:pPr>
      <w:r>
        <w:rPr>
          <w:b/>
          <w:bCs/>
          <w:color w:val="8A5A2B"/>
          <w:sz w:val="32"/>
          <w:szCs w:val="32"/>
        </w:rPr>
        <w:t xml:space="preserve">第16章　疾患マーカー</w:t>
      </w:r>
    </w:p>
    <w:p>
      <w:pPr>
        <w:pBdr>
          <w:bottom w:val="single" w:color="CCCCCC" w:sz="4" w:space="4"/>
        </w:pBdr>
        <w:spacing w:after="300"/>
      </w:pPr>
      <w:r>
        <w:rPr>
          <w:color w:val="888888"/>
          <w:sz w:val="17"/>
          <w:szCs w:val="17"/>
        </w:rPr>
        <w:t xml:space="preserve">対応大項目: 16 疾患マーカー</w:t>
      </w:r>
    </w:p>
    <w:p>
      <w:pPr>
        <w:spacing w:after="140" w:line="300"/>
      </w:pPr>
      <w:r>
        <w:rPr>
          <w:sz w:val="21"/>
          <w:szCs w:val="21"/>
        </w:rPr>
        <w:t xml:space="preserve">この資料は、臨地実習中に「調査」で確認する内容をまとめたものです。国家試験レベルの知識を、実習の場面に即して使えるところまで身につけることを目標にしています。本文だけで基本を押さえられるようにし、少し発展した内容は「コラム」で補っています。コラムは飛ばしても本文の理解に支障はありませんが、発展問題や国家試験の応用問題まで解けるようになりたい人は目を通してください。</w:t>
      </w:r>
    </w:p>
    <w:p>
      <w:pPr>
        <w:spacing w:after="140" w:line="300"/>
      </w:pPr>
      <w:r>
        <w:rPr>
          <w:sz w:val="21"/>
          <w:szCs w:val="21"/>
        </w:rPr>
        <w:t xml:space="preserve">本章は、A心不全・心筋マーカー→B腫瘍マーカー、という骨子案の順に進む。いずれも「その数値がどんな病態を反映するマーカーなのか、そしてどこまで信じてよいのか」を扱う点で共通している。</w:t>
      </w:r>
    </w:p>
    <w:p>
      <w:pPr>
        <w:spacing w:after="140" w:line="300"/>
      </w:pPr>
      <w:r>
        <w:rPr>
          <w:color w:val="888888"/>
          <w:sz w:val="19"/>
          <w:szCs w:val="19"/>
        </w:rPr>
        <w:t xml:space="preserve">2026-08-27改訂: 骨子案の再構成により、本章はもともと中項目Cとして含んでいたPOCTを分割し、Ⅱ検査プロセスの最後に位置する独立した大項目20「POCT」(第20章)へ移した。POCTについては第20章を参照。</w:t>
      </w:r>
    </w:p>
    <w:p>
      <w:pPr>
        <w:spacing w:after="160"/>
      </w:pPr>
    </w:p>
    <w:p>
      <w:pPr>
        <w:pStyle w:val="Heading1"/>
        <w:pBdr>
          <w:bottom w:val="single" w:color="8A5A2B" w:sz="10" w:space="4"/>
        </w:pBdr>
        <w:spacing w:after="180" w:before="380"/>
      </w:pPr>
      <w:r>
        <w:rPr>
          <w:b/>
          <w:bCs/>
          <w:color w:val="8A5A2B"/>
          <w:sz w:val="34"/>
          <w:szCs w:val="34"/>
        </w:rPr>
        <w:t xml:space="preserve">A　心不全・心筋マーカー</w:t>
      </w:r>
    </w:p>
    <w:p>
      <w:pPr>
        <w:pStyle w:val="Heading2"/>
        <w:pBdr>
          <w:bottom w:val="single" w:color="D8C4A0" w:sz="4" w:space="3"/>
        </w:pBdr>
        <w:spacing w:after="120" w:before="260"/>
      </w:pPr>
      <w:r>
        <w:rPr>
          <w:b/>
          <w:bCs/>
          <w:color w:val="5C3A1E"/>
          <w:sz w:val="26"/>
          <w:szCs w:val="26"/>
        </w:rPr>
        <w:t xml:space="preserve">A-a　BNP と NT-proBNP(産生機序、採血管の違い)</w:t>
      </w:r>
    </w:p>
    <w:p>
      <w:pPr>
        <w:spacing w:after="140" w:line="300"/>
      </w:pPr>
      <w:r>
        <w:rPr>
          <w:sz w:val="21"/>
          <w:szCs w:val="21"/>
        </w:rPr>
        <w:t xml:space="preserve">BNPは、心室に負荷がかかると分泌が増えるプロホルモン、proBNPが体内で切断されて生じる活性型ホルモンである。切断時に生じるもう一方の断片が、不活性なN末端フラグメントであるNT-proBNPである。両者は起源(proBNP)は同じだが、性質は大きく異なる。</w:t>
      </w:r>
    </w:p>
    <w:p>
      <w:pPr>
        <w:spacing w:after="140" w:line="300"/>
      </w:pPr>
      <w:r>
        <w:rPr>
          <w:sz w:val="21"/>
          <w:szCs w:val="21"/>
        </w:rPr>
        <w:t xml:space="preserve">BNPは活性型ホルモンで半減期が短く(約20分)、プロテアーゼによる分解を防ぐためEDTA血漿での測定が必要で、室温での安定性も低めである。一方NT-proBNPは不活性で半減期が長く(おおむね60〜120分程度とされる)、血清・血漿いずれでも測定可能で室温でも比較的安定している。この違いが、採血管や保存条件の使い分けに直結す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AFAFA" w:val="clear"/>
            <w:tcMar>
              <w:top w:type="dxa" w:w="80"/>
              <w:left w:type="dxa" w:w="120"/>
              <w:bottom w:type="dxa" w:w="80"/>
              <w:right w:type="dxa" w:w="120"/>
            </w:tcMar>
          </w:tcPr>
          <w:p>
            <w:pPr>
              <w:spacing w:before="100"/>
            </w:pPr>
          </w:p>
          <w:p>
            <w:pPr>
              <w:jc w:val="center"/>
            </w:pPr>
            <w:r>
              <w:rPr>
                <w:b/>
                <w:bCs/>
                <w:color w:val="888888"/>
                <w:sz w:val="20"/>
                <w:szCs w:val="20"/>
              </w:rPr>
              <w:t xml:space="preserve">🖼  図版差し込み枠</w:t>
            </w:r>
          </w:p>
          <w:p>
            <w:pPr>
              <w:spacing w:after="100"/>
              <w:jc w:val="center"/>
            </w:pPr>
            <w:r>
              <w:rPr>
                <w:color w:val="999999"/>
                <w:sz w:val="17"/>
                <w:szCs w:val="17"/>
              </w:rPr>
              <w:t xml:space="preserve">proBNPの切断とBNP・NT-proBNPの産生模式図(心室の負荷→proBNP合成・分泌→酵素による切断→活性型BNPと不活性なNT-proBNPに分かれる過程を示す図) ※教科書等の図を挿入</w:t>
            </w:r>
          </w:p>
          <w:p>
            <w:pPr>
              <w:spacing w:after="1200"/>
            </w:pPr>
          </w:p>
        </w:tc>
      </w:tr>
    </w:tbl>
    <w:p>
      <w:pPr>
        <w:pStyle w:val="Heading2"/>
        <w:pBdr>
          <w:bottom w:val="single" w:color="D8C4A0" w:sz="4" w:space="3"/>
        </w:pBdr>
        <w:spacing w:after="120" w:before="260"/>
      </w:pPr>
      <w:r>
        <w:rPr>
          <w:b/>
          <w:bCs/>
          <w:color w:val="5C3A1E"/>
          <w:sz w:val="26"/>
          <w:szCs w:val="26"/>
        </w:rPr>
        <w:t xml:space="preserve">A-b　心不全診断・重症度評価におけるカットオフと解釈</w:t>
      </w:r>
    </w:p>
    <w:p>
      <w:pPr>
        <w:spacing w:after="140" w:line="300"/>
      </w:pPr>
      <w:r>
        <w:rPr>
          <w:sz w:val="21"/>
          <w:szCs w:val="21"/>
        </w:rPr>
        <w:t xml:space="preserve">カットオフ値をそのまま当てはめてよいわけではない。NT-proBNPは主に腎から排泄されるため、腎機能が低下していると特に上昇しやすくなる。BNPも腎機能低下の影響で上昇する傾向があるが、主なクリアランス経路は受容体を介した分解であり、NT-proBNPほど腎機能への依存度は高くない。また高齢であっても両者は上昇しやすくなる。一方、肥満患者では脂肪組織によるクリアランス亢進などのため値が低下しやすく、心不全があっても値が「見かけ上低く」出て見逃されるおそれがある。年齢・腎機能・体格を考慮してカットオフを解釈する必要があり、採用しているアッセイやカットオフも施設によって異な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① BNP/NT-proBNPの具体的なカットオフ値</w:t>
            </w:r>
          </w:p>
          <w:p>
            <w:pPr>
              <w:spacing w:after="140" w:line="300"/>
            </w:pPr>
            <w:r>
              <w:rPr>
                <w:sz w:val="20"/>
                <w:szCs w:val="20"/>
              </w:rPr>
              <w:t xml:space="preserve">日本心不全学会は2023年に「血中BNPやNT-proBNPを用いた心不全診療に関するステートメント」を改訂し、次のような目安を示している。基準値(潜在的な心不全の可能性が極めて低い)はBNP 18.4 pg/mL以下・NT-proBNP 55 pg/mL以下。心不全の可能性がある(前心不全を含め、循環器専門医への紹介を検討する)目安はBNP 35 pg/mL以上・NT-proBNP 125 pg/mL以上である(2013年版のBNP 40・NT-proBNP 400からの引き下げで、国際的な定義との整合や、左室駆出率が保たれた心不全〈HFpEF〉の早期発見を意識した改訂とされる)。ただしこれらはあくまで「疑うべきかどうか」の目安であり、確定診断は心エコーなど他の検査とあわせて行う。A-bで触れた腎機能・年齢・肥満による変動を踏まえたうえで解釈する必要があり、採用しているアッセイ・カットオフは自施設の運用を優先して確認すること(出典: 日本心不全学会「血中BNPやNT-proBNPを用いた心不全診療に関するステートメント2023年改訂版」)。</w:t>
            </w:r>
          </w:p>
        </w:tc>
      </w:tr>
    </w:tbl>
    <w:p>
      <w:pPr>
        <w:spacing w:after="160"/>
      </w:pPr>
    </w:p>
    <w:p>
      <w:pPr>
        <w:pStyle w:val="Heading2"/>
        <w:pBdr>
          <w:bottom w:val="single" w:color="D8C4A0" w:sz="4" w:space="3"/>
        </w:pBdr>
        <w:spacing w:after="120" w:before="260"/>
      </w:pPr>
      <w:r>
        <w:rPr>
          <w:b/>
          <w:bCs/>
          <w:color w:val="5C3A1E"/>
          <w:sz w:val="26"/>
          <w:szCs w:val="26"/>
        </w:rPr>
        <w:t xml:space="preserve">A-c　高感度心筋トロポニン T/I</w:t>
      </w:r>
    </w:p>
    <w:p>
      <w:pPr>
        <w:spacing w:after="140" w:line="300"/>
      </w:pPr>
      <w:r>
        <w:rPr>
          <w:sz w:val="21"/>
          <w:szCs w:val="21"/>
        </w:rPr>
        <w:t xml:space="preserve">急性冠症候群が疑われる場面では高感度心筋トロポニンT/Iが用いられる。これは心筋壊死を反映するマーカーで、発症からの時間経過に伴う上昇パターン(0/1hアルゴリズムなど、来院時〈0時間〉と1時間後の2時点の値とその変化量から急性心筋梗塞の可能性を判定する手法)を見て判断する。心負荷を反映するBNP/NT-proBNPとは評価する病態が異なる点を、両者を混同しないためにも押さえておきたい。</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② 国家試験に見る「心不全の指標」</w:t>
            </w:r>
          </w:p>
          <w:p>
            <w:pPr>
              <w:spacing w:after="140" w:line="300"/>
            </w:pPr>
            <w:r>
              <w:rPr>
                <w:sz w:val="20"/>
                <w:szCs w:val="20"/>
              </w:rPr>
              <w:t xml:space="preserve">第60回国家試験(前半)では「心不全の指標として適切なのはどれか」という設問に、AST・BNP・CK-MB・トロポニンT・ミオグロビンの5つが選択肢として並んだ。正解はBNPで、他の4つ(AST・CK-MB・トロポニンT・ミオグロビン)はいずれも心筋の壊死・障害を反映する逸脱酵素・蛋白であり、心臓に負荷がかかっているかどうかを示すBNPとは評価している病態が異なる。「心臓のどんな異常を見ているマーカーなのか」を区別する視点が問われた設問である。</w:t>
            </w:r>
          </w:p>
        </w:tc>
      </w:tr>
    </w:tbl>
    <w:p>
      <w:pPr>
        <w:spacing w:after="160"/>
      </w:pPr>
    </w:p>
    <w:p>
      <w:pPr>
        <w:pStyle w:val="Heading1"/>
        <w:pBdr>
          <w:bottom w:val="single" w:color="8A5A2B" w:sz="10" w:space="4"/>
        </w:pBdr>
        <w:spacing w:after="180" w:before="380"/>
      </w:pPr>
      <w:r>
        <w:rPr>
          <w:b/>
          <w:bCs/>
          <w:color w:val="8A5A2B"/>
          <w:sz w:val="34"/>
          <w:szCs w:val="34"/>
        </w:rPr>
        <w:t xml:space="preserve">B　腫瘍マーカー</w:t>
      </w:r>
    </w:p>
    <w:p>
      <w:pPr>
        <w:pStyle w:val="Heading2"/>
        <w:pBdr>
          <w:bottom w:val="single" w:color="D8C4A0" w:sz="4" w:space="3"/>
        </w:pBdr>
        <w:spacing w:after="120" w:before="260"/>
      </w:pPr>
      <w:r>
        <w:rPr>
          <w:b/>
          <w:bCs/>
          <w:color w:val="5C3A1E"/>
          <w:sz w:val="26"/>
          <w:szCs w:val="26"/>
        </w:rPr>
        <w:t xml:space="preserve">B-a・B-b　代表的な腫瘍マーカーと対応臓器・組織型</w:t>
      </w:r>
    </w:p>
    <w:p>
      <w:pPr>
        <w:spacing w:after="140" w:line="300"/>
      </w:pPr>
      <w:r>
        <w:rPr>
          <w:sz w:val="21"/>
          <w:szCs w:val="21"/>
        </w:rPr>
        <w:t xml:space="preserve">腫瘍マーカーには、それぞれおおよそ対応する臓器・組織型がある。代表的なものを次に示す。</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AFAFA" w:val="clear"/>
            <w:tcMar>
              <w:top w:type="dxa" w:w="80"/>
              <w:left w:type="dxa" w:w="120"/>
              <w:bottom w:type="dxa" w:w="80"/>
              <w:right w:type="dxa" w:w="120"/>
            </w:tcMar>
          </w:tcPr>
          <w:p>
            <w:pPr>
              <w:spacing w:before="100"/>
            </w:pPr>
          </w:p>
          <w:p>
            <w:pPr>
              <w:jc w:val="center"/>
            </w:pPr>
            <w:r>
              <w:rPr>
                <w:b/>
                <w:bCs/>
                <w:color w:val="888888"/>
                <w:sz w:val="20"/>
                <w:szCs w:val="20"/>
              </w:rPr>
              <w:t xml:space="preserve">🖼  図版差し込み枠</w:t>
            </w:r>
          </w:p>
          <w:p>
            <w:pPr>
              <w:spacing w:after="100"/>
              <w:jc w:val="center"/>
            </w:pPr>
            <w:r>
              <w:rPr>
                <w:color w:val="999999"/>
                <w:sz w:val="17"/>
                <w:szCs w:val="17"/>
              </w:rPr>
              <w:t xml:space="preserve">腫瘍マーカーの臓器別対応図(人体のシルエットに各臓器を配置し、対応する腫瘍マーカー名を吹き出しで示す図) ※教科書等の図を挿入</w:t>
            </w:r>
          </w:p>
          <w:p>
            <w:pPr>
              <w:spacing w:after="1200"/>
            </w:pP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9DDC4" w:val="clear"/>
            <w:tcMar>
              <w:top w:type="dxa" w:w="60"/>
              <w:left w:type="dxa" w:w="100"/>
              <w:bottom w:type="dxa" w:w="60"/>
              <w:right w:type="dxa" w:w="100"/>
            </w:tcMar>
            <w:vAlign w:val="center"/>
          </w:tcPr>
          <w:p>
            <w:pPr>
              <w:jc w:val="center"/>
            </w:pPr>
            <w:r>
              <w:rPr>
                <w:b/>
                <w:bCs/>
                <w:sz w:val="18"/>
                <w:szCs w:val="18"/>
              </w:rPr>
              <w:t xml:space="preserve">マーカー</w:t>
            </w:r>
          </w:p>
        </w:tc>
        <w:tc>
          <w:tcPr>
            <w:tcW w:type="dxa" w:w="7150"/>
            <w:shd w:fill="E9DDC4" w:val="clear"/>
            <w:tcMar>
              <w:top w:type="dxa" w:w="60"/>
              <w:left w:type="dxa" w:w="100"/>
              <w:bottom w:type="dxa" w:w="60"/>
              <w:right w:type="dxa" w:w="100"/>
            </w:tcMar>
            <w:vAlign w:val="center"/>
          </w:tcPr>
          <w:p>
            <w:pPr>
              <w:jc w:val="center"/>
            </w:pPr>
            <w:r>
              <w:rPr>
                <w:b/>
                <w:bCs/>
                <w:sz w:val="18"/>
                <w:szCs w:val="18"/>
              </w:rPr>
              <w:t xml:space="preserve">主な対応臓器・組織型</w:t>
            </w:r>
          </w:p>
        </w:tc>
      </w:tr>
      <w:tr>
        <w:tc>
          <w:tcPr>
            <w:tcW w:type="dxa" w:w="2200"/>
            <w:shd w:fill="FFFFFF" w:val="clear"/>
            <w:tcMar>
              <w:top w:type="dxa" w:w="50"/>
              <w:left w:type="dxa" w:w="90"/>
              <w:bottom w:type="dxa" w:w="50"/>
              <w:right w:type="dxa" w:w="90"/>
            </w:tcMar>
            <w:vAlign w:val="center"/>
          </w:tcPr>
          <w:p>
            <w:r>
              <w:rPr>
                <w:sz w:val="18"/>
                <w:szCs w:val="18"/>
              </w:rPr>
              <w:t xml:space="preserve">AFP</w:t>
            </w:r>
          </w:p>
        </w:tc>
        <w:tc>
          <w:tcPr>
            <w:tcW w:type="dxa" w:w="7150"/>
            <w:shd w:fill="FFFFFF" w:val="clear"/>
            <w:tcMar>
              <w:top w:type="dxa" w:w="50"/>
              <w:left w:type="dxa" w:w="90"/>
              <w:bottom w:type="dxa" w:w="50"/>
              <w:right w:type="dxa" w:w="90"/>
            </w:tcMar>
            <w:vAlign w:val="center"/>
          </w:tcPr>
          <w:p>
            <w:r>
              <w:rPr>
                <w:sz w:val="18"/>
                <w:szCs w:val="18"/>
              </w:rPr>
              <w:t xml:space="preserve">肝細胞癌</w:t>
            </w:r>
          </w:p>
        </w:tc>
      </w:tr>
      <w:tr>
        <w:tc>
          <w:tcPr>
            <w:tcW w:type="dxa" w:w="2200"/>
            <w:shd w:fill="FBF6EC" w:val="clear"/>
            <w:tcMar>
              <w:top w:type="dxa" w:w="50"/>
              <w:left w:type="dxa" w:w="90"/>
              <w:bottom w:type="dxa" w:w="50"/>
              <w:right w:type="dxa" w:w="90"/>
            </w:tcMar>
            <w:vAlign w:val="center"/>
          </w:tcPr>
          <w:p>
            <w:r>
              <w:rPr>
                <w:sz w:val="18"/>
                <w:szCs w:val="18"/>
              </w:rPr>
              <w:t xml:space="preserve">CEA</w:t>
            </w:r>
          </w:p>
        </w:tc>
        <w:tc>
          <w:tcPr>
            <w:tcW w:type="dxa" w:w="7150"/>
            <w:shd w:fill="FBF6EC" w:val="clear"/>
            <w:tcMar>
              <w:top w:type="dxa" w:w="50"/>
              <w:left w:type="dxa" w:w="90"/>
              <w:bottom w:type="dxa" w:w="50"/>
              <w:right w:type="dxa" w:w="90"/>
            </w:tcMar>
            <w:vAlign w:val="center"/>
          </w:tcPr>
          <w:p>
            <w:r>
              <w:rPr>
                <w:sz w:val="18"/>
                <w:szCs w:val="18"/>
              </w:rPr>
              <w:t xml:space="preserve">大腸癌など消化器癌(複数臓器で上昇しうる)</w:t>
            </w:r>
          </w:p>
        </w:tc>
      </w:tr>
      <w:tr>
        <w:tc>
          <w:tcPr>
            <w:tcW w:type="dxa" w:w="2200"/>
            <w:shd w:fill="FFFFFF" w:val="clear"/>
            <w:tcMar>
              <w:top w:type="dxa" w:w="50"/>
              <w:left w:type="dxa" w:w="90"/>
              <w:bottom w:type="dxa" w:w="50"/>
              <w:right w:type="dxa" w:w="90"/>
            </w:tcMar>
            <w:vAlign w:val="center"/>
          </w:tcPr>
          <w:p>
            <w:r>
              <w:rPr>
                <w:sz w:val="18"/>
                <w:szCs w:val="18"/>
              </w:rPr>
              <w:t xml:space="preserve">CA19-9</w:t>
            </w:r>
          </w:p>
        </w:tc>
        <w:tc>
          <w:tcPr>
            <w:tcW w:type="dxa" w:w="7150"/>
            <w:shd w:fill="FFFFFF" w:val="clear"/>
            <w:tcMar>
              <w:top w:type="dxa" w:w="50"/>
              <w:left w:type="dxa" w:w="90"/>
              <w:bottom w:type="dxa" w:w="50"/>
              <w:right w:type="dxa" w:w="90"/>
            </w:tcMar>
            <w:vAlign w:val="center"/>
          </w:tcPr>
          <w:p>
            <w:r>
              <w:rPr>
                <w:sz w:val="18"/>
                <w:szCs w:val="18"/>
              </w:rPr>
              <w:t xml:space="preserve">膵癌・胆道癌</w:t>
            </w:r>
          </w:p>
        </w:tc>
      </w:tr>
      <w:tr>
        <w:tc>
          <w:tcPr>
            <w:tcW w:type="dxa" w:w="2200"/>
            <w:shd w:fill="FBF6EC" w:val="clear"/>
            <w:tcMar>
              <w:top w:type="dxa" w:w="50"/>
              <w:left w:type="dxa" w:w="90"/>
              <w:bottom w:type="dxa" w:w="50"/>
              <w:right w:type="dxa" w:w="90"/>
            </w:tcMar>
            <w:vAlign w:val="center"/>
          </w:tcPr>
          <w:p>
            <w:r>
              <w:rPr>
                <w:sz w:val="18"/>
                <w:szCs w:val="18"/>
              </w:rPr>
              <w:t xml:space="preserve">CA125</w:t>
            </w:r>
          </w:p>
        </w:tc>
        <w:tc>
          <w:tcPr>
            <w:tcW w:type="dxa" w:w="7150"/>
            <w:shd w:fill="FBF6EC" w:val="clear"/>
            <w:tcMar>
              <w:top w:type="dxa" w:w="50"/>
              <w:left w:type="dxa" w:w="90"/>
              <w:bottom w:type="dxa" w:w="50"/>
              <w:right w:type="dxa" w:w="90"/>
            </w:tcMar>
            <w:vAlign w:val="center"/>
          </w:tcPr>
          <w:p>
            <w:r>
              <w:rPr>
                <w:sz w:val="18"/>
                <w:szCs w:val="18"/>
              </w:rPr>
              <w:t xml:space="preserve">卵巣癌</w:t>
            </w:r>
          </w:p>
        </w:tc>
      </w:tr>
      <w:tr>
        <w:tc>
          <w:tcPr>
            <w:tcW w:type="dxa" w:w="2200"/>
            <w:shd w:fill="FFFFFF" w:val="clear"/>
            <w:tcMar>
              <w:top w:type="dxa" w:w="50"/>
              <w:left w:type="dxa" w:w="90"/>
              <w:bottom w:type="dxa" w:w="50"/>
              <w:right w:type="dxa" w:w="90"/>
            </w:tcMar>
            <w:vAlign w:val="center"/>
          </w:tcPr>
          <w:p>
            <w:r>
              <w:rPr>
                <w:sz w:val="18"/>
                <w:szCs w:val="18"/>
              </w:rPr>
              <w:t xml:space="preserve">PSA</w:t>
            </w:r>
          </w:p>
        </w:tc>
        <w:tc>
          <w:tcPr>
            <w:tcW w:type="dxa" w:w="7150"/>
            <w:shd w:fill="FFFFFF" w:val="clear"/>
            <w:tcMar>
              <w:top w:type="dxa" w:w="50"/>
              <w:left w:type="dxa" w:w="90"/>
              <w:bottom w:type="dxa" w:w="50"/>
              <w:right w:type="dxa" w:w="90"/>
            </w:tcMar>
            <w:vAlign w:val="center"/>
          </w:tcPr>
          <w:p>
            <w:r>
              <w:rPr>
                <w:sz w:val="18"/>
                <w:szCs w:val="18"/>
              </w:rPr>
              <w:t xml:space="preserve">前立腺癌</w:t>
            </w:r>
          </w:p>
        </w:tc>
      </w:tr>
      <w:tr>
        <w:tc>
          <w:tcPr>
            <w:tcW w:type="dxa" w:w="2200"/>
            <w:shd w:fill="FBF6EC" w:val="clear"/>
            <w:tcMar>
              <w:top w:type="dxa" w:w="50"/>
              <w:left w:type="dxa" w:w="90"/>
              <w:bottom w:type="dxa" w:w="50"/>
              <w:right w:type="dxa" w:w="90"/>
            </w:tcMar>
            <w:vAlign w:val="center"/>
          </w:tcPr>
          <w:p>
            <w:r>
              <w:rPr>
                <w:sz w:val="18"/>
                <w:szCs w:val="18"/>
              </w:rPr>
              <w:t xml:space="preserve">PIVKA-Ⅱ</w:t>
            </w:r>
          </w:p>
        </w:tc>
        <w:tc>
          <w:tcPr>
            <w:tcW w:type="dxa" w:w="7150"/>
            <w:shd w:fill="FBF6EC" w:val="clear"/>
            <w:tcMar>
              <w:top w:type="dxa" w:w="50"/>
              <w:left w:type="dxa" w:w="90"/>
              <w:bottom w:type="dxa" w:w="50"/>
              <w:right w:type="dxa" w:w="90"/>
            </w:tcMar>
            <w:vAlign w:val="center"/>
          </w:tcPr>
          <w:p>
            <w:r>
              <w:rPr>
                <w:sz w:val="18"/>
                <w:szCs w:val="18"/>
              </w:rPr>
              <w:t xml:space="preserve">肝細胞癌</w:t>
            </w:r>
          </w:p>
        </w:tc>
      </w:tr>
      <w:tr>
        <w:tc>
          <w:tcPr>
            <w:tcW w:type="dxa" w:w="2200"/>
            <w:shd w:fill="FFFFFF" w:val="clear"/>
            <w:tcMar>
              <w:top w:type="dxa" w:w="50"/>
              <w:left w:type="dxa" w:w="90"/>
              <w:bottom w:type="dxa" w:w="50"/>
              <w:right w:type="dxa" w:w="90"/>
            </w:tcMar>
            <w:vAlign w:val="center"/>
          </w:tcPr>
          <w:p>
            <w:r>
              <w:rPr>
                <w:sz w:val="18"/>
                <w:szCs w:val="18"/>
              </w:rPr>
              <w:t xml:space="preserve">SCC</w:t>
            </w:r>
          </w:p>
        </w:tc>
        <w:tc>
          <w:tcPr>
            <w:tcW w:type="dxa" w:w="7150"/>
            <w:shd w:fill="FFFFFF" w:val="clear"/>
            <w:tcMar>
              <w:top w:type="dxa" w:w="50"/>
              <w:left w:type="dxa" w:w="90"/>
              <w:bottom w:type="dxa" w:w="50"/>
              <w:right w:type="dxa" w:w="90"/>
            </w:tcMar>
            <w:vAlign w:val="center"/>
          </w:tcPr>
          <w:p>
            <w:r>
              <w:rPr>
                <w:sz w:val="18"/>
                <w:szCs w:val="18"/>
              </w:rPr>
              <w:t xml:space="preserve">扁平上皮癌(子宮頸部・肺・食道など)</w:t>
            </w:r>
          </w:p>
        </w:tc>
      </w:tr>
      <w:tr>
        <w:tc>
          <w:tcPr>
            <w:tcW w:type="dxa" w:w="2200"/>
            <w:shd w:fill="FBF6EC" w:val="clear"/>
            <w:tcMar>
              <w:top w:type="dxa" w:w="50"/>
              <w:left w:type="dxa" w:w="90"/>
              <w:bottom w:type="dxa" w:w="50"/>
              <w:right w:type="dxa" w:w="90"/>
            </w:tcMar>
            <w:vAlign w:val="center"/>
          </w:tcPr>
          <w:p>
            <w:r>
              <w:rPr>
                <w:sz w:val="18"/>
                <w:szCs w:val="18"/>
              </w:rPr>
              <w:t xml:space="preserve">ProGRP</w:t>
            </w:r>
          </w:p>
        </w:tc>
        <w:tc>
          <w:tcPr>
            <w:tcW w:type="dxa" w:w="7150"/>
            <w:shd w:fill="FBF6EC" w:val="clear"/>
            <w:tcMar>
              <w:top w:type="dxa" w:w="50"/>
              <w:left w:type="dxa" w:w="90"/>
              <w:bottom w:type="dxa" w:w="50"/>
              <w:right w:type="dxa" w:w="90"/>
            </w:tcMar>
            <w:vAlign w:val="center"/>
          </w:tcPr>
          <w:p>
            <w:r>
              <w:rPr>
                <w:sz w:val="18"/>
                <w:szCs w:val="18"/>
              </w:rPr>
              <w:t xml:space="preserve">肺小細胞癌</w:t>
            </w:r>
          </w:p>
        </w:tc>
      </w:tr>
    </w:tbl>
    <w:p>
      <w:pPr>
        <w:spacing w:after="160"/>
      </w:pPr>
    </w:p>
    <w:p>
      <w:pPr>
        <w:spacing w:after="140" w:line="300"/>
      </w:pPr>
      <w:r>
        <w:rPr>
          <w:sz w:val="21"/>
          <w:szCs w:val="21"/>
        </w:rPr>
        <w:t xml:space="preserve">ただし、マーカーの上昇=がん、と単純には言えない。以下のB-c・B-dで扱う偽陽性・偽陰性の要因を踏まえて解釈する必要がある。</w:t>
      </w:r>
    </w:p>
    <w:p>
      <w:pPr>
        <w:pStyle w:val="Heading2"/>
        <w:pBdr>
          <w:bottom w:val="single" w:color="D8C4A0" w:sz="4" w:space="3"/>
        </w:pBdr>
        <w:spacing w:after="120" w:before="260"/>
      </w:pPr>
      <w:r>
        <w:rPr>
          <w:b/>
          <w:bCs/>
          <w:color w:val="5C3A1E"/>
          <w:sz w:val="26"/>
          <w:szCs w:val="26"/>
        </w:rPr>
        <w:t xml:space="preserve">B-c　偽陽性要因</w:t>
      </w:r>
    </w:p>
    <w:p>
      <w:pPr>
        <w:spacing w:after="140" w:line="300"/>
      </w:pPr>
      <w:r>
        <w:rPr>
          <w:sz w:val="21"/>
          <w:szCs w:val="21"/>
        </w:rPr>
        <w:t xml:space="preserve">CEAは喫煙によっても上昇することが知られており、多くのマーカーは肝疾患などの良性疾患でも上昇することがある。CA125は月経・妊娠・子宮内膜症といった良性婦人科疾患でも上昇し、PSAは直腸診やカテーテル留置など前立腺への機械的刺激でも上昇しうるため、採血前の状況にも注意が必要である。</w:t>
      </w:r>
    </w:p>
    <w:p>
      <w:pPr>
        <w:pStyle w:val="Heading2"/>
        <w:pBdr>
          <w:bottom w:val="single" w:color="D8C4A0" w:sz="4" w:space="3"/>
        </w:pBdr>
        <w:spacing w:after="120" w:before="260"/>
      </w:pPr>
      <w:r>
        <w:rPr>
          <w:b/>
          <w:bCs/>
          <w:color w:val="5C3A1E"/>
          <w:sz w:val="26"/>
          <w:szCs w:val="26"/>
        </w:rPr>
        <w:t xml:space="preserve">B-d　偽陰性要因</w:t>
      </w:r>
    </w:p>
    <w:p>
      <w:pPr>
        <w:spacing w:after="140" w:line="300"/>
      </w:pPr>
      <w:r>
        <w:rPr>
          <w:sz w:val="21"/>
          <w:szCs w:val="21"/>
        </w:rPr>
        <w:t xml:space="preserve">がんがあっても上昇しない偽陰性もある。たとえばLewis式血液型陰性の人はCA19-9を産生する酵素を欠くため、膵癌があってもCA19-9がほとんど上昇しないことがある。</w:t>
      </w:r>
    </w:p>
    <w:p>
      <w:pPr>
        <w:pStyle w:val="Heading2"/>
        <w:pBdr>
          <w:bottom w:val="single" w:color="D8C4A0" w:sz="4" w:space="3"/>
        </w:pBdr>
        <w:spacing w:after="120" w:before="260"/>
      </w:pPr>
      <w:r>
        <w:rPr>
          <w:b/>
          <w:bCs/>
          <w:color w:val="5C3A1E"/>
          <w:sz w:val="26"/>
          <w:szCs w:val="26"/>
        </w:rPr>
        <w:t xml:space="preserve">B-e　スクリーニングではなく経過観察に用いる理由</w:t>
      </w:r>
    </w:p>
    <w:p>
      <w:pPr>
        <w:spacing w:after="140" w:line="300"/>
      </w:pPr>
      <w:r>
        <w:rPr>
          <w:sz w:val="21"/>
          <w:szCs w:val="21"/>
        </w:rPr>
        <w:t xml:space="preserve">腫瘍マーカーは感度・特異度が十分に高くないため、単独で健常者を対象としたスクリーニングに用いるのには適さず、主に治療効果の判定や再発の有無を追う経過観察に用いられる。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③ 「臓器特異性の高さ」というものさし</w:t>
            </w:r>
          </w:p>
          <w:p>
            <w:pPr>
              <w:spacing w:after="140" w:line="300"/>
            </w:pPr>
            <w:r>
              <w:rPr>
                <w:sz w:val="20"/>
                <w:szCs w:val="20"/>
              </w:rPr>
              <w:t xml:space="preserve">腫瘍マーカーは、対応する臓器がどれだけ絞り込めるかという「臓器特異性」の高さにも幅がある。たとえばPIVKA-Ⅱは肝細胞癌に対する臓器特異性が比較的高いマーカーとされる一方、CEAは大腸癌をはじめ、肺癌・胃癌・膵癌・乳癌など複数の臓器のがんで上昇しうる、臓器特異性の低い(汎用性の高い)マーカーである。第60回国家試験(前半)では「臓器特異性の高い腫瘍マーカーはどれか」という設問に、CEA・SCC・CA15-3・CA19-9・PIVKA-Ⅱの5つが選択肢として並び、正解はPIVKA-Ⅱとされる。臓器特異性が高いマーカーは特定の臓器のがんを疑う手がかりとして使いやすい一方、臓器特異性が低いマーカーは複数のがんや良性疾患でも動くため、B-c・B-dで扱った偽陽性・偽陰性の幅もより広くなりやすい、という関係を押さえておくとよい。</w:t>
            </w:r>
          </w:p>
        </w:tc>
      </w:tr>
    </w:tbl>
    <w:p>
      <w:pPr>
        <w:spacing w:after="160"/>
      </w:pP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 </w:t>
    </w:r>
    <w:r>
      <w:rPr>
        <w:color w:val="AAAAAA"/>
        <w:sz w:val="16"/>
        <w:szCs w:val="16"/>
      </w:rPr>
      <w:fldChar w:fldCharType="begin"/>
      <w:instrText xml:space="preserve">PAGE</w:instrText>
      <w:fldChar w:fldCharType="separate"/>
      <w:fldChar w:fldCharType="end"/>
    </w:r>
    <w:r>
      <w:rPr>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5"/>
        <w:szCs w:val="15"/>
      </w:rPr>
      <w:t xml:space="preserve">冒険の書　第16章　疾患マーカー(試作)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2026-08-27T13:23:10.339Z</dcterms:created>
  <dcterms:modified xsi:type="dcterms:W3CDTF">2026-08-27T13:23:10.340Z</dcterms:modified>
</cp:coreProperties>
</file>

<file path=docProps/custom.xml><?xml version="1.0" encoding="utf-8"?>
<Properties xmlns="http://schemas.openxmlformats.org/officeDocument/2006/custom-properties" xmlns:vt="http://schemas.openxmlformats.org/officeDocument/2006/docPropsVTypes"/>
</file>