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color w:val="999999"/>
          <w:sz w:val="20"/>
          <w:szCs w:val="20"/>
        </w:rPr>
        <w:t xml:space="preserve">冒険の書 — 生化学・免疫ラボクエスト 資料集(試作章)</w:t>
      </w:r>
    </w:p>
    <w:p>
      <w:pPr>
        <w:spacing w:after="60"/>
      </w:pPr>
      <w:r>
        <w:rPr>
          <w:b/>
          <w:bCs/>
          <w:color w:val="5C3A1E"/>
          <w:sz w:val="24"/>
          <w:szCs w:val="24"/>
        </w:rPr>
        <w:t xml:space="preserve">第22章　パニック値・緊急異常値の報告</w:t>
      </w:r>
    </w:p>
    <w:p>
      <w:pPr>
        <w:spacing w:after="240"/>
      </w:pPr>
      <w:r>
        <w:rPr>
          <w:b/>
          <w:bCs/>
          <w:color w:val="8A5A2B"/>
          <w:sz w:val="40"/>
          <w:szCs w:val="40"/>
        </w:rPr>
        <w:t xml:space="preserve">22-A　パニック値の設定</w:t>
      </w:r>
    </w:p>
    <w:p>
      <w:pPr>
        <w:pBdr>
          <w:bottom w:val="single" w:color="CCCCCC" w:sz="4" w:space="4"/>
        </w:pBdr>
        <w:spacing w:after="300"/>
      </w:pPr>
      <w:r>
        <w:rPr>
          <w:color w:val="888888"/>
          <w:sz w:val="17"/>
          <w:szCs w:val="17"/>
        </w:rPr>
        <w:t xml:space="preserve">対応小項目: a 定義　b 代表的な項目と値◆　c 施設ごとに設定値が異なる理由</w:t>
      </w:r>
    </w:p>
    <w:p>
      <w:pPr>
        <w:spacing w:after="140" w:line="300"/>
      </w:pPr>
      <w:r>
        <w:rPr>
          <w:sz w:val="21"/>
          <w:szCs w:val="21"/>
        </w:rPr>
        <w:t xml:space="preserve">この資料は、臨地実習中に「調査」で確認する内容をまとめたものです。国家試験レベルの知識を、実習の場面に即して使えるところまで身につけることを目標にしています。本文だけで基本を押さえられるようにし、少し発展した内容は「コラム」で補っています。コラムは飛ばしても本文の理解に支障はありませんが、発展問題や国家試験の応用問題まで解けるようになりたい人は目を通してください。</w:t>
      </w:r>
    </w:p>
    <w:p>
      <w:pPr>
        <w:pStyle w:val="Heading1"/>
        <w:pBdr>
          <w:bottom w:val="single" w:color="8A5A2B" w:sz="6" w:space="4"/>
        </w:pBdr>
        <w:spacing w:after="160" w:before="320"/>
      </w:pPr>
      <w:r>
        <w:rPr>
          <w:b/>
          <w:bCs/>
          <w:color w:val="8A5A2B"/>
          <w:sz w:val="32"/>
          <w:szCs w:val="32"/>
        </w:rPr>
        <w:t xml:space="preserve">a　パニック値の定義</w:t>
      </w:r>
    </w:p>
    <w:p>
      <w:pPr>
        <w:spacing w:after="140" w:line="300"/>
      </w:pPr>
      <w:r>
        <w:rPr>
          <w:sz w:val="21"/>
          <w:szCs w:val="21"/>
        </w:rPr>
        <w:t xml:space="preserve">パニック値とは、「生命が危ぶまれるほど危険な状態にあることを示唆する異常値」で、直ちに治療を開始すれば救命しうるが、その把握は臨床的な診察だけでは困難で、検査によってのみ可能とされているものをいう(Lundberg GD, 1972)。この定義の核心は次の2点である。</w:t>
      </w:r>
    </w:p>
    <w:p>
      <w:pPr>
        <w:spacing w:after="80" w:line="280"/>
        <w:ind w:left="340"/>
      </w:pPr>
      <w:r>
        <w:rPr>
          <w:sz w:val="21"/>
          <w:szCs w:val="21"/>
        </w:rPr>
        <w:t xml:space="preserve">・① 生命の危険に直結する: 基準範囲を外れているだけの異常値とは重みが違う。「様子を見る」ではなく「直ちに動く」レベルの値を指す。</w:t>
      </w:r>
    </w:p>
    <w:p>
      <w:pPr>
        <w:spacing w:after="80" w:line="280"/>
        <w:ind w:left="340"/>
      </w:pPr>
      <w:r>
        <w:rPr>
          <w:sz w:val="21"/>
          <w:szCs w:val="21"/>
        </w:rPr>
        <w:t xml:space="preserve">・② 検査でしか気づけない: 診察や問診だけでは分からず、採血・測定という検査室の行為があって初めて発見できる。だからこそ、測定して終わりではなく、正しく・速く臨床側に伝わって初めて意味を持つ。</w:t>
      </w:r>
    </w:p>
    <w:p>
      <w:pPr>
        <w:spacing w:after="140" w:line="300"/>
      </w:pPr>
      <w:r>
        <w:rPr>
          <w:sz w:val="21"/>
          <w:szCs w:val="21"/>
        </w:rPr>
        <w:t xml:space="preserve">呼称については、パニック値・緊急異常値・緊急報告検査値など複数の呼び方が使われてきた。日本臨床検査医学会(JSLM)は2024年の提言書で、英語論文や学会発表など対外的な場では「critical value」「クリティカルバリュー」を用いることを推奨しつつ、医療機関内部では当面「パニック値」を用いてもよいとしている(用語が幅広い職種に定着しており、一斉の変更が現実的でないため)。本書では国家試験・学会文書に合わせて「パニック値」の表記で統一するが、アプリ内では実習先の呼称に合わせて「Critical Value」と表示している箇所がある。同じ概念を指す言葉だと気づけるようにしておくこと。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24C3F" w:sz="8"/>
              <w:left w:val="single" w:color="B24C3F" w:sz="16"/>
              <w:bottom w:val="single" w:color="B24C3F" w:sz="8"/>
              <w:right w:val="single" w:color="B24C3F" w:sz="8"/>
            </w:tcBorders>
            <w:shd w:fill="FBEAE8" w:val="clear"/>
            <w:tcMar>
              <w:top w:type="dxa" w:w="160"/>
              <w:left w:type="dxa" w:w="220"/>
              <w:bottom w:type="dxa" w:w="160"/>
              <w:right w:type="dxa" w:w="220"/>
            </w:tcMar>
          </w:tcPr>
          <w:p>
            <w:pPr>
              <w:spacing w:after="100"/>
            </w:pPr>
            <w:r>
              <w:rPr>
                <w:i/>
                <w:iCs/>
                <w:color w:val="B24C3F"/>
                <w:sz w:val="17"/>
                <w:szCs w:val="17"/>
              </w:rPr>
              <w:t xml:space="preserve">⚠ 注意</w:t>
            </w:r>
          </w:p>
          <w:p>
            <w:pPr>
              <w:spacing w:after="100"/>
            </w:pPr>
            <w:r>
              <w:rPr>
                <w:b/>
                <w:bCs/>
                <w:color w:val="3E2C1C"/>
                <w:sz w:val="22"/>
                <w:szCs w:val="22"/>
              </w:rPr>
              <w:t xml:space="preserve">なぜ「速さ」が検査の仕事になるのか</w:t>
            </w:r>
          </w:p>
          <w:p>
            <w:pPr>
              <w:spacing w:after="140" w:line="300"/>
            </w:pPr>
            <w:r>
              <w:rPr>
                <w:sz w:val="20"/>
                <w:szCs w:val="20"/>
              </w:rPr>
              <w:t xml:space="preserve">パニック値は、正しく測定できていても、臨床側に伝わらなければ患者を守る役には立たない。日本臨床検査医学会が2017年に実施した全国アンケート調査では、そもそもパニック値として何を設定するかが施設ごとにばらばらであるだけでなく、緊急連絡体制・カルテへの記録方法・臨床側の対応確認の方法までもが施設間で統一されていないという実態が明らかになった。パニック値の運用は、測定の正確さと同じくらい、「誰に・いつ・どう伝え、どう記録するか」という運用の設計が重要だという背景を押さえておく。</w:t>
            </w:r>
          </w:p>
        </w:tc>
      </w:tr>
    </w:tbl>
    <w:p>
      <w:pPr>
        <w:spacing w:after="160"/>
      </w:pPr>
    </w:p>
    <w:p>
      <w:pPr>
        <w:pStyle w:val="Heading1"/>
        <w:pBdr>
          <w:bottom w:val="single" w:color="8A5A2B" w:sz="6" w:space="4"/>
        </w:pBdr>
        <w:spacing w:after="160" w:before="320"/>
      </w:pPr>
      <w:r>
        <w:rPr>
          <w:b/>
          <w:bCs/>
          <w:color w:val="8A5A2B"/>
          <w:sz w:val="32"/>
          <w:szCs w:val="32"/>
        </w:rPr>
        <w:t xml:space="preserve">b　代表的な項目と値◆</w:t>
      </w:r>
    </w:p>
    <w:p>
      <w:pPr>
        <w:spacing w:after="140" w:line="300"/>
      </w:pPr>
      <w:r>
        <w:rPr>
          <w:sz w:val="21"/>
          <w:szCs w:val="21"/>
        </w:rPr>
        <w:t xml:space="preserve">パニック値としてどの項目・どの数値を設定するかについて、全国統一の基準(ゴールドスタンダード)は存在しない。日本臨床検査医学会は2024年改定の提言書で、各施設が個別に設定する際の参考として、下表の一覧(2021年版から数値の変更なし)を公表してい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750"/>
        <w:gridCol w:w="2900"/>
        <w:gridCol w:w="1500"/>
      </w:tblGrid>
      <w:tr>
        <w:trPr>
          <w:tblHeader/>
        </w:trPr>
        <w:tc>
          <w:tcPr>
            <w:tcW w:type="dxa" w:w="1200"/>
            <w:shd w:fill="E9DDC4" w:val="clear"/>
            <w:tcMar>
              <w:top w:type="dxa" w:w="60"/>
              <w:left w:type="dxa" w:w="100"/>
              <w:bottom w:type="dxa" w:w="60"/>
              <w:right w:type="dxa" w:w="100"/>
            </w:tcMar>
            <w:vAlign w:val="center"/>
          </w:tcPr>
          <w:p>
            <w:pPr>
              <w:jc w:val="center"/>
            </w:pPr>
            <w:r>
              <w:rPr>
                <w:b/>
                <w:bCs/>
                <w:sz w:val="18"/>
                <w:szCs w:val="18"/>
              </w:rPr>
              <w:t xml:space="preserve">区分</w:t>
            </w:r>
          </w:p>
        </w:tc>
        <w:tc>
          <w:tcPr>
            <w:tcW w:type="dxa" w:w="2000"/>
            <w:shd w:fill="E9DDC4" w:val="clear"/>
            <w:tcMar>
              <w:top w:type="dxa" w:w="60"/>
              <w:left w:type="dxa" w:w="100"/>
              <w:bottom w:type="dxa" w:w="60"/>
              <w:right w:type="dxa" w:w="100"/>
            </w:tcMar>
            <w:vAlign w:val="center"/>
          </w:tcPr>
          <w:p>
            <w:pPr>
              <w:jc w:val="center"/>
            </w:pPr>
            <w:r>
              <w:rPr>
                <w:b/>
                <w:bCs/>
                <w:sz w:val="18"/>
                <w:szCs w:val="18"/>
              </w:rPr>
              <w:t xml:space="preserve">項目</w:t>
            </w:r>
          </w:p>
        </w:tc>
        <w:tc>
          <w:tcPr>
            <w:tcW w:type="dxa" w:w="1750"/>
            <w:shd w:fill="E9DDC4" w:val="clear"/>
            <w:tcMar>
              <w:top w:type="dxa" w:w="60"/>
              <w:left w:type="dxa" w:w="100"/>
              <w:bottom w:type="dxa" w:w="60"/>
              <w:right w:type="dxa" w:w="100"/>
            </w:tcMar>
            <w:vAlign w:val="center"/>
          </w:tcPr>
          <w:p>
            <w:pPr>
              <w:jc w:val="center"/>
            </w:pPr>
            <w:r>
              <w:rPr>
                <w:b/>
                <w:bCs/>
                <w:sz w:val="18"/>
                <w:szCs w:val="18"/>
              </w:rPr>
              <w:t xml:space="preserve">低値</w:t>
            </w:r>
          </w:p>
        </w:tc>
        <w:tc>
          <w:tcPr>
            <w:tcW w:type="dxa" w:w="2900"/>
            <w:shd w:fill="E9DDC4" w:val="clear"/>
            <w:tcMar>
              <w:top w:type="dxa" w:w="60"/>
              <w:left w:type="dxa" w:w="100"/>
              <w:bottom w:type="dxa" w:w="60"/>
              <w:right w:type="dxa" w:w="100"/>
            </w:tcMar>
            <w:vAlign w:val="center"/>
          </w:tcPr>
          <w:p>
            <w:pPr>
              <w:jc w:val="center"/>
            </w:pPr>
            <w:r>
              <w:rPr>
                <w:b/>
                <w:bCs/>
                <w:sz w:val="18"/>
                <w:szCs w:val="18"/>
              </w:rPr>
              <w:t xml:space="preserve">高値</w:t>
            </w:r>
          </w:p>
        </w:tc>
        <w:tc>
          <w:tcPr>
            <w:tcW w:type="dxa" w:w="1500"/>
            <w:shd w:fill="E9DDC4" w:val="clear"/>
            <w:tcMar>
              <w:top w:type="dxa" w:w="60"/>
              <w:left w:type="dxa" w:w="100"/>
              <w:bottom w:type="dxa" w:w="60"/>
              <w:right w:type="dxa" w:w="100"/>
            </w:tcMar>
            <w:vAlign w:val="center"/>
          </w:tcPr>
          <w:p>
            <w:pPr>
              <w:jc w:val="center"/>
            </w:pPr>
            <w:r>
              <w:rPr>
                <w:b/>
                <w:bCs/>
                <w:sz w:val="18"/>
                <w:szCs w:val="18"/>
              </w:rPr>
              <w:t xml:space="preserve">緊急
報告</w:t>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FFFFF" w:val="clear"/>
            <w:tcMar>
              <w:top w:type="dxa" w:w="50"/>
              <w:left w:type="dxa" w:w="90"/>
              <w:bottom w:type="dxa" w:w="50"/>
              <w:right w:type="dxa" w:w="90"/>
            </w:tcMar>
            <w:vAlign w:val="center"/>
          </w:tcPr>
          <w:p>
            <w:pPr>
              <w:jc w:val="center"/>
            </w:pPr>
            <w:r>
              <w:rPr>
                <w:sz w:val="17"/>
                <w:szCs w:val="17"/>
              </w:rPr>
              <w:t xml:space="preserve">グルコース</w:t>
            </w:r>
          </w:p>
        </w:tc>
        <w:tc>
          <w:tcPr>
            <w:tcW w:type="dxa" w:w="1750"/>
            <w:shd w:fill="FFFFFF" w:val="clear"/>
            <w:tcMar>
              <w:top w:type="dxa" w:w="50"/>
              <w:left w:type="dxa" w:w="90"/>
              <w:bottom w:type="dxa" w:w="50"/>
              <w:right w:type="dxa" w:w="90"/>
            </w:tcMar>
            <w:vAlign w:val="center"/>
          </w:tcPr>
          <w:p>
            <w:pPr>
              <w:jc w:val="center"/>
            </w:pPr>
            <w:r>
              <w:rPr>
                <w:sz w:val="17"/>
                <w:szCs w:val="17"/>
              </w:rPr>
              <w:t xml:space="preserve">50 mg/dL</w:t>
            </w:r>
          </w:p>
        </w:tc>
        <w:tc>
          <w:tcPr>
            <w:tcW w:type="dxa" w:w="2900"/>
            <w:shd w:fill="FFFFFF" w:val="clear"/>
            <w:tcMar>
              <w:top w:type="dxa" w:w="50"/>
              <w:left w:type="dxa" w:w="90"/>
              <w:bottom w:type="dxa" w:w="50"/>
              <w:right w:type="dxa" w:w="90"/>
            </w:tcMar>
            <w:vAlign w:val="center"/>
          </w:tcPr>
          <w:p>
            <w:pPr>
              <w:jc w:val="center"/>
            </w:pPr>
            <w:r>
              <w:rPr>
                <w:sz w:val="17"/>
                <w:szCs w:val="17"/>
              </w:rPr>
              <w:t xml:space="preserve">350 mg/dL(外来)
500 mg/dL(入院)</w:t>
            </w:r>
          </w:p>
        </w:tc>
        <w:tc>
          <w:tcPr>
            <w:tcW w:type="dxa" w:w="1500"/>
            <w:shd w:fill="FFFFFF" w:val="clear"/>
            <w:tcMar>
              <w:top w:type="dxa" w:w="50"/>
              <w:left w:type="dxa" w:w="90"/>
              <w:bottom w:type="dxa" w:w="50"/>
              <w:right w:type="dxa" w:w="90"/>
            </w:tcMar>
            <w:vAlign w:val="center"/>
          </w:tcPr>
          <w:p>
            <w:pPr>
              <w:jc w:val="center"/>
            </w:pPr>
            <w:r>
              <w:rPr>
                <w:sz w:val="17"/>
                <w:szCs w:val="17"/>
              </w:rPr>
              <w:t xml:space="preserve">○</w:t>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BF6EC" w:val="clear"/>
            <w:tcMar>
              <w:top w:type="dxa" w:w="50"/>
              <w:left w:type="dxa" w:w="90"/>
              <w:bottom w:type="dxa" w:w="50"/>
              <w:right w:type="dxa" w:w="90"/>
            </w:tcMar>
            <w:vAlign w:val="center"/>
          </w:tcPr>
          <w:p>
            <w:pPr>
              <w:jc w:val="center"/>
            </w:pPr>
            <w:r>
              <w:rPr>
                <w:sz w:val="17"/>
                <w:szCs w:val="17"/>
              </w:rPr>
              <w:t xml:space="preserve">ナトリウム(Na)</w:t>
            </w:r>
          </w:p>
        </w:tc>
        <w:tc>
          <w:tcPr>
            <w:tcW w:type="dxa" w:w="1750"/>
            <w:shd w:fill="FBF6EC" w:val="clear"/>
            <w:tcMar>
              <w:top w:type="dxa" w:w="50"/>
              <w:left w:type="dxa" w:w="90"/>
              <w:bottom w:type="dxa" w:w="50"/>
              <w:right w:type="dxa" w:w="90"/>
            </w:tcMar>
            <w:vAlign w:val="center"/>
          </w:tcPr>
          <w:p>
            <w:pPr>
              <w:jc w:val="center"/>
            </w:pPr>
            <w:r>
              <w:rPr>
                <w:sz w:val="17"/>
                <w:szCs w:val="17"/>
              </w:rPr>
              <w:t xml:space="preserve">115 mmol/L</w:t>
            </w:r>
          </w:p>
        </w:tc>
        <w:tc>
          <w:tcPr>
            <w:tcW w:type="dxa" w:w="2900"/>
            <w:shd w:fill="FBF6EC" w:val="clear"/>
            <w:tcMar>
              <w:top w:type="dxa" w:w="50"/>
              <w:left w:type="dxa" w:w="90"/>
              <w:bottom w:type="dxa" w:w="50"/>
              <w:right w:type="dxa" w:w="90"/>
            </w:tcMar>
            <w:vAlign w:val="center"/>
          </w:tcPr>
          <w:p>
            <w:pPr>
              <w:jc w:val="center"/>
            </w:pPr>
            <w:r>
              <w:rPr>
                <w:sz w:val="17"/>
                <w:szCs w:val="17"/>
              </w:rPr>
              <w:t xml:space="preserve">165 mmol/L</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FFFFF" w:val="clear"/>
            <w:tcMar>
              <w:top w:type="dxa" w:w="50"/>
              <w:left w:type="dxa" w:w="90"/>
              <w:bottom w:type="dxa" w:w="50"/>
              <w:right w:type="dxa" w:w="90"/>
            </w:tcMar>
            <w:vAlign w:val="center"/>
          </w:tcPr>
          <w:p>
            <w:pPr>
              <w:jc w:val="center"/>
            </w:pPr>
            <w:r>
              <w:rPr>
                <w:sz w:val="17"/>
                <w:szCs w:val="17"/>
              </w:rPr>
              <w:t xml:space="preserve">カリウム(K)</w:t>
            </w:r>
          </w:p>
        </w:tc>
        <w:tc>
          <w:tcPr>
            <w:tcW w:type="dxa" w:w="1750"/>
            <w:shd w:fill="FFFFFF" w:val="clear"/>
            <w:tcMar>
              <w:top w:type="dxa" w:w="50"/>
              <w:left w:type="dxa" w:w="90"/>
              <w:bottom w:type="dxa" w:w="50"/>
              <w:right w:type="dxa" w:w="90"/>
            </w:tcMar>
            <w:vAlign w:val="center"/>
          </w:tcPr>
          <w:p>
            <w:pPr>
              <w:jc w:val="center"/>
            </w:pPr>
            <w:r>
              <w:rPr>
                <w:sz w:val="17"/>
                <w:szCs w:val="17"/>
              </w:rPr>
              <w:t xml:space="preserve">1.5 mmol/L</w:t>
            </w:r>
          </w:p>
        </w:tc>
        <w:tc>
          <w:tcPr>
            <w:tcW w:type="dxa" w:w="2900"/>
            <w:shd w:fill="FFFFFF" w:val="clear"/>
            <w:tcMar>
              <w:top w:type="dxa" w:w="50"/>
              <w:left w:type="dxa" w:w="90"/>
              <w:bottom w:type="dxa" w:w="50"/>
              <w:right w:type="dxa" w:w="90"/>
            </w:tcMar>
            <w:vAlign w:val="center"/>
          </w:tcPr>
          <w:p>
            <w:pPr>
              <w:jc w:val="center"/>
            </w:pPr>
            <w:r>
              <w:rPr>
                <w:sz w:val="17"/>
                <w:szCs w:val="17"/>
              </w:rPr>
              <w:t xml:space="preserve">7.0 mmol/L</w:t>
            </w:r>
          </w:p>
        </w:tc>
        <w:tc>
          <w:tcPr>
            <w:tcW w:type="dxa" w:w="1500"/>
            <w:shd w:fill="FFFFFF" w:val="clear"/>
            <w:tcMar>
              <w:top w:type="dxa" w:w="50"/>
              <w:left w:type="dxa" w:w="90"/>
              <w:bottom w:type="dxa" w:w="50"/>
              <w:right w:type="dxa" w:w="90"/>
            </w:tcMar>
            <w:vAlign w:val="center"/>
          </w:tcPr>
          <w:p>
            <w:pPr>
              <w:jc w:val="center"/>
            </w:pPr>
            <w:r>
              <w:rPr>
                <w:sz w:val="17"/>
                <w:szCs w:val="17"/>
              </w:rPr>
              <w:t xml:space="preserve">○</w:t>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BF6EC" w:val="clear"/>
            <w:tcMar>
              <w:top w:type="dxa" w:w="50"/>
              <w:left w:type="dxa" w:w="90"/>
              <w:bottom w:type="dxa" w:w="50"/>
              <w:right w:type="dxa" w:w="90"/>
            </w:tcMar>
            <w:vAlign w:val="center"/>
          </w:tcPr>
          <w:p>
            <w:pPr>
              <w:jc w:val="center"/>
            </w:pPr>
            <w:r>
              <w:rPr>
                <w:sz w:val="17"/>
                <w:szCs w:val="17"/>
              </w:rPr>
              <w:t xml:space="preserve">クロール(Cl)</w:t>
            </w:r>
          </w:p>
        </w:tc>
        <w:tc>
          <w:tcPr>
            <w:tcW w:type="dxa" w:w="1750"/>
            <w:shd w:fill="FBF6EC" w:val="clear"/>
            <w:tcMar>
              <w:top w:type="dxa" w:w="50"/>
              <w:left w:type="dxa" w:w="90"/>
              <w:bottom w:type="dxa" w:w="50"/>
              <w:right w:type="dxa" w:w="90"/>
            </w:tcMar>
            <w:vAlign w:val="center"/>
          </w:tcPr>
          <w:p>
            <w:pPr>
              <w:jc w:val="center"/>
            </w:pPr>
            <w:r>
              <w:rPr>
                <w:sz w:val="17"/>
                <w:szCs w:val="17"/>
              </w:rPr>
              <w:t xml:space="preserve">―</w:t>
            </w:r>
          </w:p>
        </w:tc>
        <w:tc>
          <w:tcPr>
            <w:tcW w:type="dxa" w:w="2900"/>
            <w:shd w:fill="FBF6EC" w:val="clear"/>
            <w:tcMar>
              <w:top w:type="dxa" w:w="50"/>
              <w:left w:type="dxa" w:w="90"/>
              <w:bottom w:type="dxa" w:w="50"/>
              <w:right w:type="dxa" w:w="90"/>
            </w:tcMar>
            <w:vAlign w:val="center"/>
          </w:tcPr>
          <w:p>
            <w:pPr>
              <w:jc w:val="center"/>
            </w:pPr>
            <w:r>
              <w:rPr>
                <w:sz w:val="17"/>
                <w:szCs w:val="17"/>
              </w:rPr>
              <w:t xml:space="preserve">120 mmol/L</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FFFFF" w:val="clear"/>
            <w:tcMar>
              <w:top w:type="dxa" w:w="50"/>
              <w:left w:type="dxa" w:w="90"/>
              <w:bottom w:type="dxa" w:w="50"/>
              <w:right w:type="dxa" w:w="90"/>
            </w:tcMar>
            <w:vAlign w:val="center"/>
          </w:tcPr>
          <w:p>
            <w:pPr>
              <w:jc w:val="center"/>
            </w:pPr>
            <w:r>
              <w:rPr>
                <w:sz w:val="17"/>
                <w:szCs w:val="17"/>
              </w:rPr>
              <w:t xml:space="preserve">カルシウム(Ca)</w:t>
            </w:r>
          </w:p>
        </w:tc>
        <w:tc>
          <w:tcPr>
            <w:tcW w:type="dxa" w:w="1750"/>
            <w:shd w:fill="FFFFFF" w:val="clear"/>
            <w:tcMar>
              <w:top w:type="dxa" w:w="50"/>
              <w:left w:type="dxa" w:w="90"/>
              <w:bottom w:type="dxa" w:w="50"/>
              <w:right w:type="dxa" w:w="90"/>
            </w:tcMar>
            <w:vAlign w:val="center"/>
          </w:tcPr>
          <w:p>
            <w:pPr>
              <w:jc w:val="center"/>
            </w:pPr>
            <w:r>
              <w:rPr>
                <w:sz w:val="17"/>
                <w:szCs w:val="17"/>
              </w:rPr>
              <w:t xml:space="preserve">6.0 mg/dL</w:t>
            </w:r>
          </w:p>
        </w:tc>
        <w:tc>
          <w:tcPr>
            <w:tcW w:type="dxa" w:w="2900"/>
            <w:shd w:fill="FFFFFF" w:val="clear"/>
            <w:tcMar>
              <w:top w:type="dxa" w:w="50"/>
              <w:left w:type="dxa" w:w="90"/>
              <w:bottom w:type="dxa" w:w="50"/>
              <w:right w:type="dxa" w:w="90"/>
            </w:tcMar>
            <w:vAlign w:val="center"/>
          </w:tcPr>
          <w:p>
            <w:pPr>
              <w:jc w:val="center"/>
            </w:pPr>
            <w:r>
              <w:rPr>
                <w:sz w:val="17"/>
                <w:szCs w:val="17"/>
              </w:rPr>
              <w:t xml:space="preserve">12.0 mg/dL</w:t>
            </w:r>
          </w:p>
        </w:tc>
        <w:tc>
          <w:tcPr>
            <w:tcW w:type="dxa" w:w="150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BF6EC" w:val="clear"/>
            <w:tcMar>
              <w:top w:type="dxa" w:w="50"/>
              <w:left w:type="dxa" w:w="90"/>
              <w:bottom w:type="dxa" w:w="50"/>
              <w:right w:type="dxa" w:w="90"/>
            </w:tcMar>
            <w:vAlign w:val="center"/>
          </w:tcPr>
          <w:p>
            <w:pPr>
              <w:jc w:val="center"/>
            </w:pPr>
            <w:r>
              <w:rPr>
                <w:sz w:val="17"/>
                <w:szCs w:val="17"/>
              </w:rPr>
              <w:t xml:space="preserve">尿素窒素(UN)</w:t>
            </w:r>
          </w:p>
        </w:tc>
        <w:tc>
          <w:tcPr>
            <w:tcW w:type="dxa" w:w="1750"/>
            <w:shd w:fill="FBF6EC" w:val="clear"/>
            <w:tcMar>
              <w:top w:type="dxa" w:w="50"/>
              <w:left w:type="dxa" w:w="90"/>
              <w:bottom w:type="dxa" w:w="50"/>
              <w:right w:type="dxa" w:w="90"/>
            </w:tcMar>
            <w:vAlign w:val="center"/>
          </w:tcPr>
          <w:p>
            <w:pPr>
              <w:jc w:val="center"/>
            </w:pPr>
            <w:r>
              <w:rPr>
                <w:sz w:val="17"/>
                <w:szCs w:val="17"/>
              </w:rPr>
              <w:t xml:space="preserve">―</w:t>
            </w:r>
          </w:p>
        </w:tc>
        <w:tc>
          <w:tcPr>
            <w:tcW w:type="dxa" w:w="2900"/>
            <w:shd w:fill="FBF6EC" w:val="clear"/>
            <w:tcMar>
              <w:top w:type="dxa" w:w="50"/>
              <w:left w:type="dxa" w:w="90"/>
              <w:bottom w:type="dxa" w:w="50"/>
              <w:right w:type="dxa" w:w="90"/>
            </w:tcMar>
            <w:vAlign w:val="center"/>
          </w:tcPr>
          <w:p>
            <w:pPr>
              <w:jc w:val="center"/>
            </w:pPr>
            <w:r>
              <w:rPr>
                <w:sz w:val="17"/>
                <w:szCs w:val="17"/>
              </w:rPr>
              <w:t xml:space="preserve">80 mg/dL</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FFFFF" w:val="clear"/>
            <w:tcMar>
              <w:top w:type="dxa" w:w="50"/>
              <w:left w:type="dxa" w:w="90"/>
              <w:bottom w:type="dxa" w:w="50"/>
              <w:right w:type="dxa" w:w="90"/>
            </w:tcMar>
            <w:vAlign w:val="center"/>
          </w:tcPr>
          <w:p>
            <w:pPr>
              <w:jc w:val="center"/>
            </w:pPr>
            <w:r>
              <w:rPr>
                <w:sz w:val="17"/>
                <w:szCs w:val="17"/>
              </w:rPr>
              <w:t xml:space="preserve">総ビリルビン</w:t>
            </w:r>
          </w:p>
        </w:tc>
        <w:tc>
          <w:tcPr>
            <w:tcW w:type="dxa" w:w="1750"/>
            <w:shd w:fill="FFFFFF" w:val="clear"/>
            <w:tcMar>
              <w:top w:type="dxa" w:w="50"/>
              <w:left w:type="dxa" w:w="90"/>
              <w:bottom w:type="dxa" w:w="50"/>
              <w:right w:type="dxa" w:w="90"/>
            </w:tcMar>
            <w:vAlign w:val="center"/>
          </w:tcPr>
          <w:p>
            <w:pPr>
              <w:jc w:val="center"/>
            </w:pPr>
            <w:r>
              <w:rPr>
                <w:sz w:val="17"/>
                <w:szCs w:val="17"/>
              </w:rPr>
              <w:t xml:space="preserve">―</w:t>
            </w:r>
          </w:p>
        </w:tc>
        <w:tc>
          <w:tcPr>
            <w:tcW w:type="dxa" w:w="2900"/>
            <w:shd w:fill="FFFFFF" w:val="clear"/>
            <w:tcMar>
              <w:top w:type="dxa" w:w="50"/>
              <w:left w:type="dxa" w:w="90"/>
              <w:bottom w:type="dxa" w:w="50"/>
              <w:right w:type="dxa" w:w="90"/>
            </w:tcMar>
            <w:vAlign w:val="center"/>
          </w:tcPr>
          <w:p>
            <w:pPr>
              <w:jc w:val="center"/>
            </w:pPr>
            <w:r>
              <w:rPr>
                <w:sz w:val="17"/>
                <w:szCs w:val="17"/>
              </w:rPr>
              <w:t xml:space="preserve">20 mg/dL(新生児)</w:t>
            </w:r>
          </w:p>
        </w:tc>
        <w:tc>
          <w:tcPr>
            <w:tcW w:type="dxa" w:w="150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BF6EC" w:val="clear"/>
            <w:tcMar>
              <w:top w:type="dxa" w:w="50"/>
              <w:left w:type="dxa" w:w="90"/>
              <w:bottom w:type="dxa" w:w="50"/>
              <w:right w:type="dxa" w:w="90"/>
            </w:tcMar>
            <w:vAlign w:val="center"/>
          </w:tcPr>
          <w:p>
            <w:pPr>
              <w:jc w:val="center"/>
            </w:pPr>
            <w:r>
              <w:rPr>
                <w:sz w:val="17"/>
                <w:szCs w:val="17"/>
              </w:rPr>
              <w:t xml:space="preserve">総蛋白</w:t>
            </w:r>
          </w:p>
        </w:tc>
        <w:tc>
          <w:tcPr>
            <w:tcW w:type="dxa" w:w="1750"/>
            <w:shd w:fill="FBF6EC" w:val="clear"/>
            <w:tcMar>
              <w:top w:type="dxa" w:w="50"/>
              <w:left w:type="dxa" w:w="90"/>
              <w:bottom w:type="dxa" w:w="50"/>
              <w:right w:type="dxa" w:w="90"/>
            </w:tcMar>
            <w:vAlign w:val="center"/>
          </w:tcPr>
          <w:p>
            <w:pPr>
              <w:jc w:val="center"/>
            </w:pPr>
            <w:r>
              <w:rPr>
                <w:sz w:val="17"/>
                <w:szCs w:val="17"/>
              </w:rPr>
              <w:t xml:space="preserve">4.0 g/dL</w:t>
            </w:r>
          </w:p>
        </w:tc>
        <w:tc>
          <w:tcPr>
            <w:tcW w:type="dxa" w:w="2900"/>
            <w:shd w:fill="FBF6EC" w:val="clear"/>
            <w:tcMar>
              <w:top w:type="dxa" w:w="50"/>
              <w:left w:type="dxa" w:w="90"/>
              <w:bottom w:type="dxa" w:w="50"/>
              <w:right w:type="dxa" w:w="90"/>
            </w:tcMar>
            <w:vAlign w:val="center"/>
          </w:tcPr>
          <w:p>
            <w:pPr>
              <w:jc w:val="center"/>
            </w:pPr>
            <w:r>
              <w:rPr>
                <w:sz w:val="17"/>
                <w:szCs w:val="17"/>
              </w:rPr>
              <w:t xml:space="preserve">10.0 g/dL</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FFFFF" w:val="clear"/>
            <w:tcMar>
              <w:top w:type="dxa" w:w="50"/>
              <w:left w:type="dxa" w:w="90"/>
              <w:bottom w:type="dxa" w:w="50"/>
              <w:right w:type="dxa" w:w="90"/>
            </w:tcMar>
            <w:vAlign w:val="center"/>
          </w:tcPr>
          <w:p>
            <w:pPr>
              <w:jc w:val="center"/>
            </w:pPr>
            <w:r>
              <w:rPr>
                <w:sz w:val="17"/>
                <w:szCs w:val="17"/>
              </w:rPr>
              <w:t xml:space="preserve">アルブミン</w:t>
            </w:r>
          </w:p>
        </w:tc>
        <w:tc>
          <w:tcPr>
            <w:tcW w:type="dxa" w:w="1750"/>
            <w:shd w:fill="FFFFFF" w:val="clear"/>
            <w:tcMar>
              <w:top w:type="dxa" w:w="50"/>
              <w:left w:type="dxa" w:w="90"/>
              <w:bottom w:type="dxa" w:w="50"/>
              <w:right w:type="dxa" w:w="90"/>
            </w:tcMar>
            <w:vAlign w:val="center"/>
          </w:tcPr>
          <w:p>
            <w:pPr>
              <w:jc w:val="center"/>
            </w:pPr>
            <w:r>
              <w:rPr>
                <w:sz w:val="17"/>
                <w:szCs w:val="17"/>
              </w:rPr>
              <w:t xml:space="preserve">2.0 g/dL</w:t>
            </w:r>
          </w:p>
        </w:tc>
        <w:tc>
          <w:tcPr>
            <w:tcW w:type="dxa" w:w="2900"/>
            <w:shd w:fill="FFFFFF" w:val="clear"/>
            <w:tcMar>
              <w:top w:type="dxa" w:w="50"/>
              <w:left w:type="dxa" w:w="90"/>
              <w:bottom w:type="dxa" w:w="50"/>
              <w:right w:type="dxa" w:w="90"/>
            </w:tcMar>
            <w:vAlign w:val="center"/>
          </w:tcPr>
          <w:p>
            <w:pPr>
              <w:jc w:val="center"/>
            </w:pPr>
            <w:r>
              <w:rPr>
                <w:sz w:val="17"/>
                <w:szCs w:val="17"/>
              </w:rPr>
              <w:t xml:space="preserve">6.0 g/dL</w:t>
            </w:r>
          </w:p>
        </w:tc>
        <w:tc>
          <w:tcPr>
            <w:tcW w:type="dxa" w:w="150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BF6EC" w:val="clear"/>
            <w:tcMar>
              <w:top w:type="dxa" w:w="50"/>
              <w:left w:type="dxa" w:w="90"/>
              <w:bottom w:type="dxa" w:w="50"/>
              <w:right w:type="dxa" w:w="90"/>
            </w:tcMar>
            <w:vAlign w:val="center"/>
          </w:tcPr>
          <w:p>
            <w:pPr>
              <w:jc w:val="center"/>
            </w:pPr>
            <w:r>
              <w:rPr>
                <w:sz w:val="17"/>
                <w:szCs w:val="17"/>
              </w:rPr>
              <w:t xml:space="preserve">尿酸</w:t>
            </w:r>
          </w:p>
        </w:tc>
        <w:tc>
          <w:tcPr>
            <w:tcW w:type="dxa" w:w="1750"/>
            <w:shd w:fill="FBF6EC" w:val="clear"/>
            <w:tcMar>
              <w:top w:type="dxa" w:w="50"/>
              <w:left w:type="dxa" w:w="90"/>
              <w:bottom w:type="dxa" w:w="50"/>
              <w:right w:type="dxa" w:w="90"/>
            </w:tcMar>
            <w:vAlign w:val="center"/>
          </w:tcPr>
          <w:p>
            <w:pPr>
              <w:jc w:val="center"/>
            </w:pPr>
            <w:r>
              <w:rPr>
                <w:sz w:val="17"/>
                <w:szCs w:val="17"/>
              </w:rPr>
              <w:t xml:space="preserve">1.0 mg/dL</w:t>
            </w:r>
          </w:p>
        </w:tc>
        <w:tc>
          <w:tcPr>
            <w:tcW w:type="dxa" w:w="2900"/>
            <w:shd w:fill="FBF6EC" w:val="clear"/>
            <w:tcMar>
              <w:top w:type="dxa" w:w="50"/>
              <w:left w:type="dxa" w:w="90"/>
              <w:bottom w:type="dxa" w:w="50"/>
              <w:right w:type="dxa" w:w="90"/>
            </w:tcMar>
            <w:vAlign w:val="center"/>
          </w:tcPr>
          <w:p>
            <w:pPr>
              <w:jc w:val="center"/>
            </w:pPr>
            <w:r>
              <w:rPr>
                <w:sz w:val="17"/>
                <w:szCs w:val="17"/>
              </w:rPr>
              <w:t xml:space="preserve">10.0 mg/dL</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FFFFF" w:val="clear"/>
            <w:tcMar>
              <w:top w:type="dxa" w:w="50"/>
              <w:left w:type="dxa" w:w="90"/>
              <w:bottom w:type="dxa" w:w="50"/>
              <w:right w:type="dxa" w:w="90"/>
            </w:tcMar>
            <w:vAlign w:val="center"/>
          </w:tcPr>
          <w:p>
            <w:pPr>
              <w:jc w:val="center"/>
            </w:pPr>
            <w:r>
              <w:rPr>
                <w:sz w:val="17"/>
                <w:szCs w:val="17"/>
              </w:rPr>
              <w:t xml:space="preserve">AST</w:t>
            </w:r>
          </w:p>
        </w:tc>
        <w:tc>
          <w:tcPr>
            <w:tcW w:type="dxa" w:w="1750"/>
            <w:shd w:fill="FFFFFF" w:val="clear"/>
            <w:tcMar>
              <w:top w:type="dxa" w:w="50"/>
              <w:left w:type="dxa" w:w="90"/>
              <w:bottom w:type="dxa" w:w="50"/>
              <w:right w:type="dxa" w:w="90"/>
            </w:tcMar>
            <w:vAlign w:val="center"/>
          </w:tcPr>
          <w:p>
            <w:pPr>
              <w:jc w:val="center"/>
            </w:pPr>
            <w:r>
              <w:rPr>
                <w:sz w:val="17"/>
                <w:szCs w:val="17"/>
              </w:rPr>
              <w:t xml:space="preserve">―</w:t>
            </w:r>
          </w:p>
        </w:tc>
        <w:tc>
          <w:tcPr>
            <w:tcW w:type="dxa" w:w="2900"/>
            <w:shd w:fill="FFFFFF" w:val="clear"/>
            <w:tcMar>
              <w:top w:type="dxa" w:w="50"/>
              <w:left w:type="dxa" w:w="90"/>
              <w:bottom w:type="dxa" w:w="50"/>
              <w:right w:type="dxa" w:w="90"/>
            </w:tcMar>
            <w:vAlign w:val="center"/>
          </w:tcPr>
          <w:p>
            <w:pPr>
              <w:jc w:val="center"/>
            </w:pPr>
            <w:r>
              <w:rPr>
                <w:sz w:val="17"/>
                <w:szCs w:val="17"/>
              </w:rPr>
              <w:t xml:space="preserve">300 U/L</w:t>
            </w:r>
          </w:p>
        </w:tc>
        <w:tc>
          <w:tcPr>
            <w:tcW w:type="dxa" w:w="150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BF6EC" w:val="clear"/>
            <w:tcMar>
              <w:top w:type="dxa" w:w="50"/>
              <w:left w:type="dxa" w:w="90"/>
              <w:bottom w:type="dxa" w:w="50"/>
              <w:right w:type="dxa" w:w="90"/>
            </w:tcMar>
            <w:vAlign w:val="center"/>
          </w:tcPr>
          <w:p>
            <w:pPr>
              <w:jc w:val="center"/>
            </w:pPr>
            <w:r>
              <w:rPr>
                <w:sz w:val="17"/>
                <w:szCs w:val="17"/>
              </w:rPr>
              <w:t xml:space="preserve">ALT</w:t>
            </w:r>
          </w:p>
        </w:tc>
        <w:tc>
          <w:tcPr>
            <w:tcW w:type="dxa" w:w="1750"/>
            <w:shd w:fill="FBF6EC" w:val="clear"/>
            <w:tcMar>
              <w:top w:type="dxa" w:w="50"/>
              <w:left w:type="dxa" w:w="90"/>
              <w:bottom w:type="dxa" w:w="50"/>
              <w:right w:type="dxa" w:w="90"/>
            </w:tcMar>
            <w:vAlign w:val="center"/>
          </w:tcPr>
          <w:p>
            <w:pPr>
              <w:jc w:val="center"/>
            </w:pPr>
            <w:r>
              <w:rPr>
                <w:sz w:val="17"/>
                <w:szCs w:val="17"/>
              </w:rPr>
              <w:t xml:space="preserve">―</w:t>
            </w:r>
          </w:p>
        </w:tc>
        <w:tc>
          <w:tcPr>
            <w:tcW w:type="dxa" w:w="2900"/>
            <w:shd w:fill="FBF6EC" w:val="clear"/>
            <w:tcMar>
              <w:top w:type="dxa" w:w="50"/>
              <w:left w:type="dxa" w:w="90"/>
              <w:bottom w:type="dxa" w:w="50"/>
              <w:right w:type="dxa" w:w="90"/>
            </w:tcMar>
            <w:vAlign w:val="center"/>
          </w:tcPr>
          <w:p>
            <w:pPr>
              <w:jc w:val="center"/>
            </w:pPr>
            <w:r>
              <w:rPr>
                <w:sz w:val="17"/>
                <w:szCs w:val="17"/>
              </w:rPr>
              <w:t xml:space="preserve">300 U/L</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FFFFF" w:val="clear"/>
            <w:tcMar>
              <w:top w:type="dxa" w:w="50"/>
              <w:left w:type="dxa" w:w="90"/>
              <w:bottom w:type="dxa" w:w="50"/>
              <w:right w:type="dxa" w:w="90"/>
            </w:tcMar>
            <w:vAlign w:val="center"/>
          </w:tcPr>
          <w:p>
            <w:pPr>
              <w:jc w:val="center"/>
            </w:pPr>
            <w:r>
              <w:rPr>
                <w:sz w:val="17"/>
                <w:szCs w:val="17"/>
              </w:rPr>
              <w:t xml:space="preserve">LD(LDH)</w:t>
            </w:r>
          </w:p>
        </w:tc>
        <w:tc>
          <w:tcPr>
            <w:tcW w:type="dxa" w:w="1750"/>
            <w:shd w:fill="FFFFFF" w:val="clear"/>
            <w:tcMar>
              <w:top w:type="dxa" w:w="50"/>
              <w:left w:type="dxa" w:w="90"/>
              <w:bottom w:type="dxa" w:w="50"/>
              <w:right w:type="dxa" w:w="90"/>
            </w:tcMar>
            <w:vAlign w:val="center"/>
          </w:tcPr>
          <w:p>
            <w:pPr>
              <w:jc w:val="center"/>
            </w:pPr>
            <w:r>
              <w:rPr>
                <w:sz w:val="17"/>
                <w:szCs w:val="17"/>
              </w:rPr>
              <w:t xml:space="preserve">―</w:t>
            </w:r>
          </w:p>
        </w:tc>
        <w:tc>
          <w:tcPr>
            <w:tcW w:type="dxa" w:w="2900"/>
            <w:shd w:fill="FFFFFF" w:val="clear"/>
            <w:tcMar>
              <w:top w:type="dxa" w:w="50"/>
              <w:left w:type="dxa" w:w="90"/>
              <w:bottom w:type="dxa" w:w="50"/>
              <w:right w:type="dxa" w:w="90"/>
            </w:tcMar>
            <w:vAlign w:val="center"/>
          </w:tcPr>
          <w:p>
            <w:pPr>
              <w:jc w:val="center"/>
            </w:pPr>
            <w:r>
              <w:rPr>
                <w:sz w:val="17"/>
                <w:szCs w:val="17"/>
              </w:rPr>
              <w:t xml:space="preserve">1,000 U/L</w:t>
            </w:r>
          </w:p>
        </w:tc>
        <w:tc>
          <w:tcPr>
            <w:tcW w:type="dxa" w:w="150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BF6EC" w:val="clear"/>
            <w:tcMar>
              <w:top w:type="dxa" w:w="50"/>
              <w:left w:type="dxa" w:w="90"/>
              <w:bottom w:type="dxa" w:w="50"/>
              <w:right w:type="dxa" w:w="90"/>
            </w:tcMar>
            <w:vAlign w:val="center"/>
          </w:tcPr>
          <w:p>
            <w:pPr>
              <w:jc w:val="center"/>
            </w:pPr>
            <w:r>
              <w:rPr>
                <w:sz w:val="17"/>
                <w:szCs w:val="17"/>
              </w:rPr>
              <w:t xml:space="preserve">アミラーゼ</w:t>
            </w:r>
          </w:p>
        </w:tc>
        <w:tc>
          <w:tcPr>
            <w:tcW w:type="dxa" w:w="1750"/>
            <w:shd w:fill="FBF6EC" w:val="clear"/>
            <w:tcMar>
              <w:top w:type="dxa" w:w="50"/>
              <w:left w:type="dxa" w:w="90"/>
              <w:bottom w:type="dxa" w:w="50"/>
              <w:right w:type="dxa" w:w="90"/>
            </w:tcMar>
            <w:vAlign w:val="center"/>
          </w:tcPr>
          <w:p>
            <w:pPr>
              <w:jc w:val="center"/>
            </w:pPr>
            <w:r>
              <w:rPr>
                <w:sz w:val="17"/>
                <w:szCs w:val="17"/>
              </w:rPr>
              <w:t xml:space="preserve">―</w:t>
            </w:r>
          </w:p>
        </w:tc>
        <w:tc>
          <w:tcPr>
            <w:tcW w:type="dxa" w:w="2900"/>
            <w:shd w:fill="FBF6EC" w:val="clear"/>
            <w:tcMar>
              <w:top w:type="dxa" w:w="50"/>
              <w:left w:type="dxa" w:w="90"/>
              <w:bottom w:type="dxa" w:w="50"/>
              <w:right w:type="dxa" w:w="90"/>
            </w:tcMar>
            <w:vAlign w:val="center"/>
          </w:tcPr>
          <w:p>
            <w:pPr>
              <w:jc w:val="center"/>
            </w:pPr>
            <w:r>
              <w:rPr>
                <w:sz w:val="17"/>
                <w:szCs w:val="17"/>
              </w:rPr>
              <w:t xml:space="preserve">1,000 U/L</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FFFFF" w:val="clear"/>
            <w:tcMar>
              <w:top w:type="dxa" w:w="50"/>
              <w:left w:type="dxa" w:w="90"/>
              <w:bottom w:type="dxa" w:w="50"/>
              <w:right w:type="dxa" w:w="90"/>
            </w:tcMar>
            <w:vAlign w:val="center"/>
          </w:tcPr>
          <w:p>
            <w:pPr>
              <w:jc w:val="center"/>
            </w:pPr>
            <w:r>
              <w:rPr>
                <w:sz w:val="17"/>
                <w:szCs w:val="17"/>
              </w:rPr>
              <w:t xml:space="preserve">クレアチニン(Cr)</w:t>
            </w:r>
          </w:p>
        </w:tc>
        <w:tc>
          <w:tcPr>
            <w:tcW w:type="dxa" w:w="1750"/>
            <w:shd w:fill="FFFFFF" w:val="clear"/>
            <w:tcMar>
              <w:top w:type="dxa" w:w="50"/>
              <w:left w:type="dxa" w:w="90"/>
              <w:bottom w:type="dxa" w:w="50"/>
              <w:right w:type="dxa" w:w="90"/>
            </w:tcMar>
            <w:vAlign w:val="center"/>
          </w:tcPr>
          <w:p>
            <w:pPr>
              <w:jc w:val="center"/>
            </w:pPr>
            <w:r>
              <w:rPr>
                <w:sz w:val="17"/>
                <w:szCs w:val="17"/>
              </w:rPr>
              <w:t xml:space="preserve">―</w:t>
            </w:r>
          </w:p>
        </w:tc>
        <w:tc>
          <w:tcPr>
            <w:tcW w:type="dxa" w:w="2900"/>
            <w:shd w:fill="FFFFFF" w:val="clear"/>
            <w:tcMar>
              <w:top w:type="dxa" w:w="50"/>
              <w:left w:type="dxa" w:w="90"/>
              <w:bottom w:type="dxa" w:w="50"/>
              <w:right w:type="dxa" w:w="90"/>
            </w:tcMar>
            <w:vAlign w:val="center"/>
          </w:tcPr>
          <w:p>
            <w:pPr>
              <w:jc w:val="center"/>
            </w:pPr>
            <w:r>
              <w:rPr>
                <w:sz w:val="17"/>
                <w:szCs w:val="17"/>
              </w:rPr>
              <w:t xml:space="preserve">急性腎不全 3.0 mg/dL
慢性腎不全 8.0 mg/dL</w:t>
            </w:r>
          </w:p>
        </w:tc>
        <w:tc>
          <w:tcPr>
            <w:tcW w:type="dxa" w:w="150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BF6EC" w:val="clear"/>
            <w:tcMar>
              <w:top w:type="dxa" w:w="50"/>
              <w:left w:type="dxa" w:w="90"/>
              <w:bottom w:type="dxa" w:w="50"/>
              <w:right w:type="dxa" w:w="90"/>
            </w:tcMar>
            <w:vAlign w:val="center"/>
          </w:tcPr>
          <w:p>
            <w:pPr>
              <w:jc w:val="center"/>
            </w:pPr>
            <w:r>
              <w:rPr>
                <w:sz w:val="17"/>
                <w:szCs w:val="17"/>
              </w:rPr>
              <w:t xml:space="preserve">クレアチンキナーゼ(CK)</w:t>
            </w:r>
          </w:p>
        </w:tc>
        <w:tc>
          <w:tcPr>
            <w:tcW w:type="dxa" w:w="1750"/>
            <w:shd w:fill="FBF6EC" w:val="clear"/>
            <w:tcMar>
              <w:top w:type="dxa" w:w="50"/>
              <w:left w:type="dxa" w:w="90"/>
              <w:bottom w:type="dxa" w:w="50"/>
              <w:right w:type="dxa" w:w="90"/>
            </w:tcMar>
            <w:vAlign w:val="center"/>
          </w:tcPr>
          <w:p>
            <w:pPr>
              <w:jc w:val="center"/>
            </w:pPr>
            <w:r>
              <w:rPr>
                <w:sz w:val="17"/>
                <w:szCs w:val="17"/>
              </w:rPr>
              <w:t xml:space="preserve">―</w:t>
            </w:r>
          </w:p>
        </w:tc>
        <w:tc>
          <w:tcPr>
            <w:tcW w:type="dxa" w:w="2900"/>
            <w:shd w:fill="FBF6EC" w:val="clear"/>
            <w:tcMar>
              <w:top w:type="dxa" w:w="50"/>
              <w:left w:type="dxa" w:w="90"/>
              <w:bottom w:type="dxa" w:w="50"/>
              <w:right w:type="dxa" w:w="90"/>
            </w:tcMar>
            <w:vAlign w:val="center"/>
          </w:tcPr>
          <w:p>
            <w:pPr>
              <w:jc w:val="center"/>
            </w:pPr>
            <w:r>
              <w:rPr>
                <w:sz w:val="17"/>
                <w:szCs w:val="17"/>
              </w:rPr>
              <w:t xml:space="preserve">5,000 U/L</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FFFFF" w:val="clear"/>
            <w:tcMar>
              <w:top w:type="dxa" w:w="50"/>
              <w:left w:type="dxa" w:w="90"/>
              <w:bottom w:type="dxa" w:w="50"/>
              <w:right w:type="dxa" w:w="90"/>
            </w:tcMar>
            <w:vAlign w:val="center"/>
          </w:tcPr>
          <w:p>
            <w:pPr>
              <w:jc w:val="center"/>
            </w:pPr>
            <w:r>
              <w:rPr>
                <w:sz w:val="17"/>
                <w:szCs w:val="17"/>
              </w:rPr>
              <w:t xml:space="preserve">コリンエステラーゼ(ChE)</w:t>
            </w:r>
          </w:p>
        </w:tc>
        <w:tc>
          <w:tcPr>
            <w:tcW w:type="dxa" w:w="1750"/>
            <w:shd w:fill="FFFFFF" w:val="clear"/>
            <w:tcMar>
              <w:top w:type="dxa" w:w="50"/>
              <w:left w:type="dxa" w:w="90"/>
              <w:bottom w:type="dxa" w:w="50"/>
              <w:right w:type="dxa" w:w="90"/>
            </w:tcMar>
            <w:vAlign w:val="center"/>
          </w:tcPr>
          <w:p>
            <w:pPr>
              <w:jc w:val="center"/>
            </w:pPr>
            <w:r>
              <w:rPr>
                <w:sz w:val="17"/>
                <w:szCs w:val="17"/>
              </w:rPr>
              <w:t xml:space="preserve">20 U/L</w:t>
            </w:r>
          </w:p>
        </w:tc>
        <w:tc>
          <w:tcPr>
            <w:tcW w:type="dxa" w:w="2900"/>
            <w:shd w:fill="FFFFFF" w:val="clear"/>
            <w:tcMar>
              <w:top w:type="dxa" w:w="50"/>
              <w:left w:type="dxa" w:w="90"/>
              <w:bottom w:type="dxa" w:w="50"/>
              <w:right w:type="dxa" w:w="90"/>
            </w:tcMar>
            <w:vAlign w:val="center"/>
          </w:tcPr>
          <w:p>
            <w:pPr>
              <w:jc w:val="center"/>
            </w:pPr>
            <w:r>
              <w:rPr>
                <w:sz w:val="17"/>
                <w:szCs w:val="17"/>
              </w:rPr>
              <w:t xml:space="preserve">―</w:t>
            </w:r>
          </w:p>
        </w:tc>
        <w:tc>
          <w:tcPr>
            <w:tcW w:type="dxa" w:w="150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BF6EC" w:val="clear"/>
            <w:tcMar>
              <w:top w:type="dxa" w:w="50"/>
              <w:left w:type="dxa" w:w="90"/>
              <w:bottom w:type="dxa" w:w="50"/>
              <w:right w:type="dxa" w:w="90"/>
            </w:tcMar>
            <w:vAlign w:val="center"/>
          </w:tcPr>
          <w:p>
            <w:pPr>
              <w:jc w:val="center"/>
            </w:pPr>
            <w:r>
              <w:rPr>
                <w:sz w:val="17"/>
                <w:szCs w:val="17"/>
              </w:rPr>
              <w:t xml:space="preserve">乳酸</w:t>
            </w:r>
          </w:p>
        </w:tc>
        <w:tc>
          <w:tcPr>
            <w:tcW w:type="dxa" w:w="1750"/>
            <w:shd w:fill="FBF6EC" w:val="clear"/>
            <w:tcMar>
              <w:top w:type="dxa" w:w="50"/>
              <w:left w:type="dxa" w:w="90"/>
              <w:bottom w:type="dxa" w:w="50"/>
              <w:right w:type="dxa" w:w="90"/>
            </w:tcMar>
            <w:vAlign w:val="center"/>
          </w:tcPr>
          <w:p>
            <w:pPr>
              <w:jc w:val="center"/>
            </w:pPr>
            <w:r>
              <w:rPr>
                <w:sz w:val="17"/>
                <w:szCs w:val="17"/>
              </w:rPr>
              <w:t xml:space="preserve">―</w:t>
            </w:r>
          </w:p>
        </w:tc>
        <w:tc>
          <w:tcPr>
            <w:tcW w:type="dxa" w:w="2900"/>
            <w:shd w:fill="FBF6EC" w:val="clear"/>
            <w:tcMar>
              <w:top w:type="dxa" w:w="50"/>
              <w:left w:type="dxa" w:w="90"/>
              <w:bottom w:type="dxa" w:w="50"/>
              <w:right w:type="dxa" w:w="90"/>
            </w:tcMar>
            <w:vAlign w:val="center"/>
          </w:tcPr>
          <w:p>
            <w:pPr>
              <w:jc w:val="center"/>
            </w:pPr>
            <w:r>
              <w:rPr>
                <w:sz w:val="17"/>
                <w:szCs w:val="17"/>
              </w:rPr>
              <w:t xml:space="preserve">5.0 mmol/L</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血液生化学</w:t>
            </w:r>
          </w:p>
        </w:tc>
        <w:tc>
          <w:tcPr>
            <w:tcW w:type="dxa" w:w="2000"/>
            <w:shd w:fill="FFFFFF" w:val="clear"/>
            <w:tcMar>
              <w:top w:type="dxa" w:w="50"/>
              <w:left w:type="dxa" w:w="90"/>
              <w:bottom w:type="dxa" w:w="50"/>
              <w:right w:type="dxa" w:w="90"/>
            </w:tcMar>
            <w:vAlign w:val="center"/>
          </w:tcPr>
          <w:p>
            <w:pPr>
              <w:jc w:val="center"/>
            </w:pPr>
            <w:r>
              <w:rPr>
                <w:sz w:val="17"/>
                <w:szCs w:val="17"/>
              </w:rPr>
              <w:t xml:space="preserve">浸透圧(血清)</w:t>
            </w:r>
          </w:p>
        </w:tc>
        <w:tc>
          <w:tcPr>
            <w:tcW w:type="dxa" w:w="1750"/>
            <w:shd w:fill="FFFFFF" w:val="clear"/>
            <w:tcMar>
              <w:top w:type="dxa" w:w="50"/>
              <w:left w:type="dxa" w:w="90"/>
              <w:bottom w:type="dxa" w:w="50"/>
              <w:right w:type="dxa" w:w="90"/>
            </w:tcMar>
            <w:vAlign w:val="center"/>
          </w:tcPr>
          <w:p>
            <w:pPr>
              <w:jc w:val="center"/>
            </w:pPr>
            <w:r>
              <w:rPr>
                <w:sz w:val="17"/>
                <w:szCs w:val="17"/>
              </w:rPr>
              <w:t xml:space="preserve">255 mOsm/kg H2O</w:t>
            </w:r>
          </w:p>
        </w:tc>
        <w:tc>
          <w:tcPr>
            <w:tcW w:type="dxa" w:w="2900"/>
            <w:shd w:fill="FFFFFF" w:val="clear"/>
            <w:tcMar>
              <w:top w:type="dxa" w:w="50"/>
              <w:left w:type="dxa" w:w="90"/>
              <w:bottom w:type="dxa" w:w="50"/>
              <w:right w:type="dxa" w:w="90"/>
            </w:tcMar>
            <w:vAlign w:val="center"/>
          </w:tcPr>
          <w:p>
            <w:pPr>
              <w:jc w:val="center"/>
            </w:pPr>
            <w:r>
              <w:rPr>
                <w:sz w:val="17"/>
                <w:szCs w:val="17"/>
              </w:rPr>
              <w:t xml:space="preserve">330 mOsm/kg H2O</w:t>
            </w:r>
          </w:p>
        </w:tc>
        <w:tc>
          <w:tcPr>
            <w:tcW w:type="dxa" w:w="150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血液ガス</w:t>
            </w:r>
          </w:p>
        </w:tc>
        <w:tc>
          <w:tcPr>
            <w:tcW w:type="dxa" w:w="2000"/>
            <w:shd w:fill="FBF6EC" w:val="clear"/>
            <w:tcMar>
              <w:top w:type="dxa" w:w="50"/>
              <w:left w:type="dxa" w:w="90"/>
              <w:bottom w:type="dxa" w:w="50"/>
              <w:right w:type="dxa" w:w="90"/>
            </w:tcMar>
            <w:vAlign w:val="center"/>
          </w:tcPr>
          <w:p>
            <w:pPr>
              <w:jc w:val="center"/>
            </w:pPr>
            <w:r>
              <w:rPr>
                <w:sz w:val="17"/>
                <w:szCs w:val="17"/>
              </w:rPr>
              <w:t xml:space="preserve">pH</w:t>
            </w:r>
          </w:p>
        </w:tc>
        <w:tc>
          <w:tcPr>
            <w:tcW w:type="dxa" w:w="1750"/>
            <w:shd w:fill="FBF6EC" w:val="clear"/>
            <w:tcMar>
              <w:top w:type="dxa" w:w="50"/>
              <w:left w:type="dxa" w:w="90"/>
              <w:bottom w:type="dxa" w:w="50"/>
              <w:right w:type="dxa" w:w="90"/>
            </w:tcMar>
            <w:vAlign w:val="center"/>
          </w:tcPr>
          <w:p>
            <w:pPr>
              <w:jc w:val="center"/>
            </w:pPr>
            <w:r>
              <w:rPr>
                <w:sz w:val="17"/>
                <w:szCs w:val="17"/>
              </w:rPr>
              <w:t xml:space="preserve">7.20</w:t>
            </w:r>
          </w:p>
        </w:tc>
        <w:tc>
          <w:tcPr>
            <w:tcW w:type="dxa" w:w="2900"/>
            <w:shd w:fill="FBF6EC" w:val="clear"/>
            <w:tcMar>
              <w:top w:type="dxa" w:w="50"/>
              <w:left w:type="dxa" w:w="90"/>
              <w:bottom w:type="dxa" w:w="50"/>
              <w:right w:type="dxa" w:w="90"/>
            </w:tcMar>
            <w:vAlign w:val="center"/>
          </w:tcPr>
          <w:p>
            <w:pPr>
              <w:jc w:val="center"/>
            </w:pPr>
            <w:r>
              <w:rPr>
                <w:sz w:val="17"/>
                <w:szCs w:val="17"/>
              </w:rPr>
              <w:t xml:space="preserve">7.60</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血液ガス</w:t>
            </w:r>
          </w:p>
        </w:tc>
        <w:tc>
          <w:tcPr>
            <w:tcW w:type="dxa" w:w="2000"/>
            <w:shd w:fill="FFFFFF" w:val="clear"/>
            <w:tcMar>
              <w:top w:type="dxa" w:w="50"/>
              <w:left w:type="dxa" w:w="90"/>
              <w:bottom w:type="dxa" w:w="50"/>
              <w:right w:type="dxa" w:w="90"/>
            </w:tcMar>
            <w:vAlign w:val="center"/>
          </w:tcPr>
          <w:p>
            <w:pPr>
              <w:jc w:val="center"/>
            </w:pPr>
            <w:r>
              <w:rPr>
                <w:sz w:val="17"/>
                <w:szCs w:val="17"/>
              </w:rPr>
              <w:t xml:space="preserve">PaCO2</w:t>
            </w:r>
          </w:p>
        </w:tc>
        <w:tc>
          <w:tcPr>
            <w:tcW w:type="dxa" w:w="1750"/>
            <w:shd w:fill="FFFFFF" w:val="clear"/>
            <w:tcMar>
              <w:top w:type="dxa" w:w="50"/>
              <w:left w:type="dxa" w:w="90"/>
              <w:bottom w:type="dxa" w:w="50"/>
              <w:right w:type="dxa" w:w="90"/>
            </w:tcMar>
            <w:vAlign w:val="center"/>
          </w:tcPr>
          <w:p>
            <w:pPr>
              <w:jc w:val="center"/>
            </w:pPr>
            <w:r>
              <w:rPr>
                <w:sz w:val="17"/>
                <w:szCs w:val="17"/>
              </w:rPr>
              <w:t xml:space="preserve">20 Torr</w:t>
            </w:r>
          </w:p>
        </w:tc>
        <w:tc>
          <w:tcPr>
            <w:tcW w:type="dxa" w:w="2900"/>
            <w:shd w:fill="FFFFFF" w:val="clear"/>
            <w:tcMar>
              <w:top w:type="dxa" w:w="50"/>
              <w:left w:type="dxa" w:w="90"/>
              <w:bottom w:type="dxa" w:w="50"/>
              <w:right w:type="dxa" w:w="90"/>
            </w:tcMar>
            <w:vAlign w:val="center"/>
          </w:tcPr>
          <w:p>
            <w:pPr>
              <w:jc w:val="center"/>
            </w:pPr>
            <w:r>
              <w:rPr>
                <w:sz w:val="17"/>
                <w:szCs w:val="17"/>
              </w:rPr>
              <w:t xml:space="preserve">70 Torr</w:t>
            </w:r>
          </w:p>
        </w:tc>
        <w:tc>
          <w:tcPr>
            <w:tcW w:type="dxa" w:w="150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血液ガス</w:t>
            </w:r>
          </w:p>
        </w:tc>
        <w:tc>
          <w:tcPr>
            <w:tcW w:type="dxa" w:w="2000"/>
            <w:shd w:fill="FBF6EC" w:val="clear"/>
            <w:tcMar>
              <w:top w:type="dxa" w:w="50"/>
              <w:left w:type="dxa" w:w="90"/>
              <w:bottom w:type="dxa" w:w="50"/>
              <w:right w:type="dxa" w:w="90"/>
            </w:tcMar>
            <w:vAlign w:val="center"/>
          </w:tcPr>
          <w:p>
            <w:pPr>
              <w:jc w:val="center"/>
            </w:pPr>
            <w:r>
              <w:rPr>
                <w:sz w:val="17"/>
                <w:szCs w:val="17"/>
              </w:rPr>
              <w:t xml:space="preserve">PaO2</w:t>
            </w:r>
          </w:p>
        </w:tc>
        <w:tc>
          <w:tcPr>
            <w:tcW w:type="dxa" w:w="1750"/>
            <w:shd w:fill="FBF6EC" w:val="clear"/>
            <w:tcMar>
              <w:top w:type="dxa" w:w="50"/>
              <w:left w:type="dxa" w:w="90"/>
              <w:bottom w:type="dxa" w:w="50"/>
              <w:right w:type="dxa" w:w="90"/>
            </w:tcMar>
            <w:vAlign w:val="center"/>
          </w:tcPr>
          <w:p>
            <w:pPr>
              <w:jc w:val="center"/>
            </w:pPr>
            <w:r>
              <w:rPr>
                <w:sz w:val="17"/>
                <w:szCs w:val="17"/>
              </w:rPr>
              <w:t xml:space="preserve">40 Torr</w:t>
            </w:r>
          </w:p>
        </w:tc>
        <w:tc>
          <w:tcPr>
            <w:tcW w:type="dxa" w:w="2900"/>
            <w:shd w:fill="FBF6EC" w:val="clear"/>
            <w:tcMar>
              <w:top w:type="dxa" w:w="50"/>
              <w:left w:type="dxa" w:w="90"/>
              <w:bottom w:type="dxa" w:w="50"/>
              <w:right w:type="dxa" w:w="90"/>
            </w:tcMar>
            <w:vAlign w:val="center"/>
          </w:tcPr>
          <w:p>
            <w:pPr>
              <w:jc w:val="center"/>
            </w:pPr>
            <w:r>
              <w:rPr>
                <w:sz w:val="17"/>
                <w:szCs w:val="17"/>
              </w:rPr>
              <w:t xml:space="preserve">―</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血液ガス</w:t>
            </w:r>
          </w:p>
        </w:tc>
        <w:tc>
          <w:tcPr>
            <w:tcW w:type="dxa" w:w="2000"/>
            <w:shd w:fill="FFFFFF" w:val="clear"/>
            <w:tcMar>
              <w:top w:type="dxa" w:w="50"/>
              <w:left w:type="dxa" w:w="90"/>
              <w:bottom w:type="dxa" w:w="50"/>
              <w:right w:type="dxa" w:w="90"/>
            </w:tcMar>
            <w:vAlign w:val="center"/>
          </w:tcPr>
          <w:p>
            <w:pPr>
              <w:jc w:val="center"/>
            </w:pPr>
            <w:r>
              <w:rPr>
                <w:sz w:val="17"/>
                <w:szCs w:val="17"/>
              </w:rPr>
              <w:t xml:space="preserve">BE</w:t>
            </w:r>
          </w:p>
        </w:tc>
        <w:tc>
          <w:tcPr>
            <w:tcW w:type="dxa" w:w="1750"/>
            <w:shd w:fill="FFFFFF" w:val="clear"/>
            <w:tcMar>
              <w:top w:type="dxa" w:w="50"/>
              <w:left w:type="dxa" w:w="90"/>
              <w:bottom w:type="dxa" w:w="50"/>
              <w:right w:type="dxa" w:w="90"/>
            </w:tcMar>
            <w:vAlign w:val="center"/>
          </w:tcPr>
          <w:p>
            <w:pPr>
              <w:jc w:val="center"/>
            </w:pPr>
            <w:r>
              <w:rPr>
                <w:sz w:val="17"/>
                <w:szCs w:val="17"/>
              </w:rPr>
              <w:t xml:space="preserve">-10 mmol/L</w:t>
            </w:r>
          </w:p>
        </w:tc>
        <w:tc>
          <w:tcPr>
            <w:tcW w:type="dxa" w:w="2900"/>
            <w:shd w:fill="FFFFFF" w:val="clear"/>
            <w:tcMar>
              <w:top w:type="dxa" w:w="50"/>
              <w:left w:type="dxa" w:w="90"/>
              <w:bottom w:type="dxa" w:w="50"/>
              <w:right w:type="dxa" w:w="90"/>
            </w:tcMar>
            <w:vAlign w:val="center"/>
          </w:tcPr>
          <w:p>
            <w:pPr>
              <w:jc w:val="center"/>
            </w:pPr>
            <w:r>
              <w:rPr>
                <w:sz w:val="17"/>
                <w:szCs w:val="17"/>
              </w:rPr>
              <w:t xml:space="preserve">10 mmol/L</w:t>
            </w:r>
          </w:p>
        </w:tc>
        <w:tc>
          <w:tcPr>
            <w:tcW w:type="dxa" w:w="150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血液ガス</w:t>
            </w:r>
          </w:p>
        </w:tc>
        <w:tc>
          <w:tcPr>
            <w:tcW w:type="dxa" w:w="2000"/>
            <w:shd w:fill="FBF6EC" w:val="clear"/>
            <w:tcMar>
              <w:top w:type="dxa" w:w="50"/>
              <w:left w:type="dxa" w:w="90"/>
              <w:bottom w:type="dxa" w:w="50"/>
              <w:right w:type="dxa" w:w="90"/>
            </w:tcMar>
            <w:vAlign w:val="center"/>
          </w:tcPr>
          <w:p>
            <w:pPr>
              <w:jc w:val="center"/>
            </w:pPr>
            <w:r>
              <w:rPr>
                <w:sz w:val="17"/>
                <w:szCs w:val="17"/>
              </w:rPr>
              <w:t xml:space="preserve">HCO3⁻</w:t>
            </w:r>
          </w:p>
        </w:tc>
        <w:tc>
          <w:tcPr>
            <w:tcW w:type="dxa" w:w="1750"/>
            <w:shd w:fill="FBF6EC" w:val="clear"/>
            <w:tcMar>
              <w:top w:type="dxa" w:w="50"/>
              <w:left w:type="dxa" w:w="90"/>
              <w:bottom w:type="dxa" w:w="50"/>
              <w:right w:type="dxa" w:w="90"/>
            </w:tcMar>
            <w:vAlign w:val="center"/>
          </w:tcPr>
          <w:p>
            <w:pPr>
              <w:jc w:val="center"/>
            </w:pPr>
            <w:r>
              <w:rPr>
                <w:sz w:val="17"/>
                <w:szCs w:val="17"/>
              </w:rPr>
              <w:t xml:space="preserve">14 mmol/L</w:t>
            </w:r>
          </w:p>
        </w:tc>
        <w:tc>
          <w:tcPr>
            <w:tcW w:type="dxa" w:w="2900"/>
            <w:shd w:fill="FBF6EC" w:val="clear"/>
            <w:tcMar>
              <w:top w:type="dxa" w:w="50"/>
              <w:left w:type="dxa" w:w="90"/>
              <w:bottom w:type="dxa" w:w="50"/>
              <w:right w:type="dxa" w:w="90"/>
            </w:tcMar>
            <w:vAlign w:val="center"/>
          </w:tcPr>
          <w:p>
            <w:pPr>
              <w:jc w:val="center"/>
            </w:pPr>
            <w:r>
              <w:rPr>
                <w:sz w:val="17"/>
                <w:szCs w:val="17"/>
              </w:rPr>
              <w:t xml:space="preserve">40 mmol/L</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血液検査</w:t>
            </w:r>
          </w:p>
        </w:tc>
        <w:tc>
          <w:tcPr>
            <w:tcW w:type="dxa" w:w="2000"/>
            <w:shd w:fill="FFFFFF" w:val="clear"/>
            <w:tcMar>
              <w:top w:type="dxa" w:w="50"/>
              <w:left w:type="dxa" w:w="90"/>
              <w:bottom w:type="dxa" w:w="50"/>
              <w:right w:type="dxa" w:w="90"/>
            </w:tcMar>
            <w:vAlign w:val="center"/>
          </w:tcPr>
          <w:p>
            <w:pPr>
              <w:jc w:val="center"/>
            </w:pPr>
            <w:r>
              <w:rPr>
                <w:sz w:val="17"/>
                <w:szCs w:val="17"/>
              </w:rPr>
              <w:t xml:space="preserve">白血球数(WBC)</w:t>
            </w:r>
          </w:p>
        </w:tc>
        <w:tc>
          <w:tcPr>
            <w:tcW w:type="dxa" w:w="1750"/>
            <w:shd w:fill="FFFFFF" w:val="clear"/>
            <w:tcMar>
              <w:top w:type="dxa" w:w="50"/>
              <w:left w:type="dxa" w:w="90"/>
              <w:bottom w:type="dxa" w:w="50"/>
              <w:right w:type="dxa" w:w="90"/>
            </w:tcMar>
            <w:vAlign w:val="center"/>
          </w:tcPr>
          <w:p>
            <w:pPr>
              <w:jc w:val="center"/>
            </w:pPr>
            <w:r>
              <w:rPr>
                <w:sz w:val="17"/>
                <w:szCs w:val="17"/>
              </w:rPr>
              <w:t xml:space="preserve">1,500/μL</w:t>
            </w:r>
          </w:p>
        </w:tc>
        <w:tc>
          <w:tcPr>
            <w:tcW w:type="dxa" w:w="2900"/>
            <w:shd w:fill="FFFFFF" w:val="clear"/>
            <w:tcMar>
              <w:top w:type="dxa" w:w="50"/>
              <w:left w:type="dxa" w:w="90"/>
              <w:bottom w:type="dxa" w:w="50"/>
              <w:right w:type="dxa" w:w="90"/>
            </w:tcMar>
            <w:vAlign w:val="center"/>
          </w:tcPr>
          <w:p>
            <w:pPr>
              <w:jc w:val="center"/>
            </w:pPr>
            <w:r>
              <w:rPr>
                <w:sz w:val="17"/>
                <w:szCs w:val="17"/>
              </w:rPr>
              <w:t xml:space="preserve">2万/μL
または芽球の出現</w:t>
            </w:r>
          </w:p>
        </w:tc>
        <w:tc>
          <w:tcPr>
            <w:tcW w:type="dxa" w:w="150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血液検査</w:t>
            </w:r>
          </w:p>
        </w:tc>
        <w:tc>
          <w:tcPr>
            <w:tcW w:type="dxa" w:w="2000"/>
            <w:shd w:fill="FBF6EC" w:val="clear"/>
            <w:tcMar>
              <w:top w:type="dxa" w:w="50"/>
              <w:left w:type="dxa" w:w="90"/>
              <w:bottom w:type="dxa" w:w="50"/>
              <w:right w:type="dxa" w:w="90"/>
            </w:tcMar>
            <w:vAlign w:val="center"/>
          </w:tcPr>
          <w:p>
            <w:pPr>
              <w:jc w:val="center"/>
            </w:pPr>
            <w:r>
              <w:rPr>
                <w:sz w:val="17"/>
                <w:szCs w:val="17"/>
              </w:rPr>
              <w:t xml:space="preserve">ヘモグロビン(Hb)</w:t>
            </w:r>
          </w:p>
        </w:tc>
        <w:tc>
          <w:tcPr>
            <w:tcW w:type="dxa" w:w="1750"/>
            <w:shd w:fill="FBF6EC" w:val="clear"/>
            <w:tcMar>
              <w:top w:type="dxa" w:w="50"/>
              <w:left w:type="dxa" w:w="90"/>
              <w:bottom w:type="dxa" w:w="50"/>
              <w:right w:type="dxa" w:w="90"/>
            </w:tcMar>
            <w:vAlign w:val="center"/>
          </w:tcPr>
          <w:p>
            <w:pPr>
              <w:jc w:val="center"/>
            </w:pPr>
            <w:r>
              <w:rPr>
                <w:sz w:val="17"/>
                <w:szCs w:val="17"/>
              </w:rPr>
              <w:t xml:space="preserve">5 g/dL</w:t>
            </w:r>
          </w:p>
        </w:tc>
        <w:tc>
          <w:tcPr>
            <w:tcW w:type="dxa" w:w="2900"/>
            <w:shd w:fill="FBF6EC" w:val="clear"/>
            <w:tcMar>
              <w:top w:type="dxa" w:w="50"/>
              <w:left w:type="dxa" w:w="90"/>
              <w:bottom w:type="dxa" w:w="50"/>
              <w:right w:type="dxa" w:w="90"/>
            </w:tcMar>
            <w:vAlign w:val="center"/>
          </w:tcPr>
          <w:p>
            <w:pPr>
              <w:jc w:val="center"/>
            </w:pPr>
            <w:r>
              <w:rPr>
                <w:sz w:val="17"/>
                <w:szCs w:val="17"/>
              </w:rPr>
              <w:t xml:space="preserve">20 g/dL</w:t>
            </w:r>
          </w:p>
        </w:tc>
        <w:tc>
          <w:tcPr>
            <w:tcW w:type="dxa" w:w="1500"/>
            <w:shd w:fill="FBF6EC" w:val="clear"/>
            <w:tcMar>
              <w:top w:type="dxa" w:w="50"/>
              <w:left w:type="dxa" w:w="90"/>
              <w:bottom w:type="dxa" w:w="50"/>
              <w:right w:type="dxa" w:w="90"/>
            </w:tcMar>
            <w:vAlign w:val="center"/>
          </w:tcPr>
          <w:p>
            <w:pPr>
              <w:jc w:val="center"/>
            </w:pPr>
            <w:r>
              <w:rPr>
                <w:sz w:val="17"/>
                <w:szCs w:val="17"/>
              </w:rPr>
              <w:t xml:space="preserve">○</w:t>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血液検査</w:t>
            </w:r>
          </w:p>
        </w:tc>
        <w:tc>
          <w:tcPr>
            <w:tcW w:type="dxa" w:w="2000"/>
            <w:shd w:fill="FFFFFF" w:val="clear"/>
            <w:tcMar>
              <w:top w:type="dxa" w:w="50"/>
              <w:left w:type="dxa" w:w="90"/>
              <w:bottom w:type="dxa" w:w="50"/>
              <w:right w:type="dxa" w:w="90"/>
            </w:tcMar>
            <w:vAlign w:val="center"/>
          </w:tcPr>
          <w:p>
            <w:pPr>
              <w:jc w:val="center"/>
            </w:pPr>
            <w:r>
              <w:rPr>
                <w:sz w:val="17"/>
                <w:szCs w:val="17"/>
              </w:rPr>
              <w:t xml:space="preserve">血小板数(Plt)</w:t>
            </w:r>
          </w:p>
        </w:tc>
        <w:tc>
          <w:tcPr>
            <w:tcW w:type="dxa" w:w="1750"/>
            <w:shd w:fill="FFFFFF" w:val="clear"/>
            <w:tcMar>
              <w:top w:type="dxa" w:w="50"/>
              <w:left w:type="dxa" w:w="90"/>
              <w:bottom w:type="dxa" w:w="50"/>
              <w:right w:type="dxa" w:w="90"/>
            </w:tcMar>
            <w:vAlign w:val="center"/>
          </w:tcPr>
          <w:p>
            <w:pPr>
              <w:jc w:val="center"/>
            </w:pPr>
            <w:r>
              <w:rPr>
                <w:sz w:val="17"/>
                <w:szCs w:val="17"/>
              </w:rPr>
              <w:t xml:space="preserve">3万/μL</w:t>
            </w:r>
          </w:p>
        </w:tc>
        <w:tc>
          <w:tcPr>
            <w:tcW w:type="dxa" w:w="2900"/>
            <w:shd w:fill="FFFFFF" w:val="clear"/>
            <w:tcMar>
              <w:top w:type="dxa" w:w="50"/>
              <w:left w:type="dxa" w:w="90"/>
              <w:bottom w:type="dxa" w:w="50"/>
              <w:right w:type="dxa" w:w="90"/>
            </w:tcMar>
            <w:vAlign w:val="center"/>
          </w:tcPr>
          <w:p>
            <w:pPr>
              <w:jc w:val="center"/>
            </w:pPr>
            <w:r>
              <w:rPr>
                <w:sz w:val="17"/>
                <w:szCs w:val="17"/>
              </w:rPr>
              <w:t xml:space="preserve">100万/μL</w:t>
            </w:r>
          </w:p>
        </w:tc>
        <w:tc>
          <w:tcPr>
            <w:tcW w:type="dxa" w:w="1500"/>
            <w:shd w:fill="FFFFFF" w:val="clear"/>
            <w:tcMar>
              <w:top w:type="dxa" w:w="50"/>
              <w:left w:type="dxa" w:w="90"/>
              <w:bottom w:type="dxa" w:w="50"/>
              <w:right w:type="dxa" w:w="90"/>
            </w:tcMar>
            <w:vAlign w:val="center"/>
          </w:tcPr>
          <w:p>
            <w:pPr>
              <w:jc w:val="center"/>
            </w:pPr>
            <w:r>
              <w:rPr>
                <w:sz w:val="17"/>
                <w:szCs w:val="17"/>
              </w:rPr>
              <w:t xml:space="preserve">○</w:t>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血液検査</w:t>
            </w:r>
          </w:p>
        </w:tc>
        <w:tc>
          <w:tcPr>
            <w:tcW w:type="dxa" w:w="2000"/>
            <w:shd w:fill="FBF6EC" w:val="clear"/>
            <w:tcMar>
              <w:top w:type="dxa" w:w="50"/>
              <w:left w:type="dxa" w:w="90"/>
              <w:bottom w:type="dxa" w:w="50"/>
              <w:right w:type="dxa" w:w="90"/>
            </w:tcMar>
            <w:vAlign w:val="center"/>
          </w:tcPr>
          <w:p>
            <w:pPr>
              <w:jc w:val="center"/>
            </w:pPr>
            <w:r>
              <w:rPr>
                <w:sz w:val="17"/>
                <w:szCs w:val="17"/>
              </w:rPr>
              <w:t xml:space="preserve">プロトロンビン時間(INR)</w:t>
            </w:r>
          </w:p>
        </w:tc>
        <w:tc>
          <w:tcPr>
            <w:tcW w:type="dxa" w:w="1750"/>
            <w:shd w:fill="FBF6EC" w:val="clear"/>
            <w:tcMar>
              <w:top w:type="dxa" w:w="50"/>
              <w:left w:type="dxa" w:w="90"/>
              <w:bottom w:type="dxa" w:w="50"/>
              <w:right w:type="dxa" w:w="90"/>
            </w:tcMar>
            <w:vAlign w:val="center"/>
          </w:tcPr>
          <w:p>
            <w:pPr>
              <w:jc w:val="center"/>
            </w:pPr>
            <w:r>
              <w:rPr>
                <w:sz w:val="17"/>
                <w:szCs w:val="17"/>
              </w:rPr>
              <w:t xml:space="preserve">―</w:t>
            </w:r>
          </w:p>
        </w:tc>
        <w:tc>
          <w:tcPr>
            <w:tcW w:type="dxa" w:w="2900"/>
            <w:shd w:fill="FBF6EC" w:val="clear"/>
            <w:tcMar>
              <w:top w:type="dxa" w:w="50"/>
              <w:left w:type="dxa" w:w="90"/>
              <w:bottom w:type="dxa" w:w="50"/>
              <w:right w:type="dxa" w:w="90"/>
            </w:tcMar>
            <w:vAlign w:val="center"/>
          </w:tcPr>
          <w:p>
            <w:pPr>
              <w:jc w:val="center"/>
            </w:pPr>
            <w:r>
              <w:rPr>
                <w:sz w:val="17"/>
                <w:szCs w:val="17"/>
              </w:rPr>
              <w:t xml:space="preserve">2.0
(ワルファリン治療時は4.0)</w:t>
            </w:r>
          </w:p>
        </w:tc>
        <w:tc>
          <w:tcPr>
            <w:tcW w:type="dxa" w:w="1500"/>
            <w:shd w:fill="FBF6EC" w:val="clear"/>
            <w:tcMar>
              <w:top w:type="dxa" w:w="50"/>
              <w:left w:type="dxa" w:w="90"/>
              <w:bottom w:type="dxa" w:w="50"/>
              <w:right w:type="dxa" w:w="90"/>
            </w:tcMar>
            <w:vAlign w:val="center"/>
          </w:tcPr>
          <w:p>
            <w:pPr>
              <w:jc w:val="center"/>
            </w:pPr>
            <w:r>
              <w:rPr>
                <w:sz w:val="17"/>
                <w:szCs w:val="17"/>
              </w:rPr>
              <w:t xml:space="preserve">○</w:t>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血液検査</w:t>
            </w:r>
          </w:p>
        </w:tc>
        <w:tc>
          <w:tcPr>
            <w:tcW w:type="dxa" w:w="2000"/>
            <w:shd w:fill="FFFFFF" w:val="clear"/>
            <w:tcMar>
              <w:top w:type="dxa" w:w="50"/>
              <w:left w:type="dxa" w:w="90"/>
              <w:bottom w:type="dxa" w:w="50"/>
              <w:right w:type="dxa" w:w="90"/>
            </w:tcMar>
            <w:vAlign w:val="center"/>
          </w:tcPr>
          <w:p>
            <w:pPr>
              <w:jc w:val="center"/>
            </w:pPr>
            <w:r>
              <w:rPr>
                <w:sz w:val="17"/>
                <w:szCs w:val="17"/>
              </w:rPr>
              <w:t xml:space="preserve">フィブリノゲン</w:t>
            </w:r>
          </w:p>
        </w:tc>
        <w:tc>
          <w:tcPr>
            <w:tcW w:type="dxa" w:w="1750"/>
            <w:shd w:fill="FFFFFF" w:val="clear"/>
            <w:tcMar>
              <w:top w:type="dxa" w:w="50"/>
              <w:left w:type="dxa" w:w="90"/>
              <w:bottom w:type="dxa" w:w="50"/>
              <w:right w:type="dxa" w:w="90"/>
            </w:tcMar>
            <w:vAlign w:val="center"/>
          </w:tcPr>
          <w:p>
            <w:pPr>
              <w:jc w:val="center"/>
            </w:pPr>
            <w:r>
              <w:rPr>
                <w:sz w:val="17"/>
                <w:szCs w:val="17"/>
              </w:rPr>
              <w:t xml:space="preserve">100 mg/dL</w:t>
            </w:r>
          </w:p>
        </w:tc>
        <w:tc>
          <w:tcPr>
            <w:tcW w:type="dxa" w:w="2900"/>
            <w:shd w:fill="FFFFFF" w:val="clear"/>
            <w:tcMar>
              <w:top w:type="dxa" w:w="50"/>
              <w:left w:type="dxa" w:w="90"/>
              <w:bottom w:type="dxa" w:w="50"/>
              <w:right w:type="dxa" w:w="90"/>
            </w:tcMar>
            <w:vAlign w:val="center"/>
          </w:tcPr>
          <w:p>
            <w:pPr>
              <w:jc w:val="center"/>
            </w:pPr>
            <w:r>
              <w:rPr>
                <w:sz w:val="17"/>
                <w:szCs w:val="17"/>
              </w:rPr>
              <w:t xml:space="preserve">700 mg/dL</w:t>
            </w:r>
          </w:p>
        </w:tc>
        <w:tc>
          <w:tcPr>
            <w:tcW w:type="dxa" w:w="150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血液検査</w:t>
            </w:r>
          </w:p>
        </w:tc>
        <w:tc>
          <w:tcPr>
            <w:tcW w:type="dxa" w:w="2000"/>
            <w:shd w:fill="FBF6EC" w:val="clear"/>
            <w:tcMar>
              <w:top w:type="dxa" w:w="50"/>
              <w:left w:type="dxa" w:w="90"/>
              <w:bottom w:type="dxa" w:w="50"/>
              <w:right w:type="dxa" w:w="90"/>
            </w:tcMar>
            <w:vAlign w:val="center"/>
          </w:tcPr>
          <w:p>
            <w:pPr>
              <w:jc w:val="center"/>
            </w:pPr>
            <w:r>
              <w:rPr>
                <w:sz w:val="17"/>
                <w:szCs w:val="17"/>
              </w:rPr>
              <w:t xml:space="preserve">FDP</w:t>
            </w:r>
          </w:p>
        </w:tc>
        <w:tc>
          <w:tcPr>
            <w:tcW w:type="dxa" w:w="1750"/>
            <w:shd w:fill="FBF6EC" w:val="clear"/>
            <w:tcMar>
              <w:top w:type="dxa" w:w="50"/>
              <w:left w:type="dxa" w:w="90"/>
              <w:bottom w:type="dxa" w:w="50"/>
              <w:right w:type="dxa" w:w="90"/>
            </w:tcMar>
            <w:vAlign w:val="center"/>
          </w:tcPr>
          <w:p>
            <w:pPr>
              <w:jc w:val="center"/>
            </w:pPr>
            <w:r>
              <w:rPr>
                <w:sz w:val="17"/>
                <w:szCs w:val="17"/>
              </w:rPr>
              <w:t xml:space="preserve">―</w:t>
            </w:r>
          </w:p>
        </w:tc>
        <w:tc>
          <w:tcPr>
            <w:tcW w:type="dxa" w:w="2900"/>
            <w:shd w:fill="FBF6EC" w:val="clear"/>
            <w:tcMar>
              <w:top w:type="dxa" w:w="50"/>
              <w:left w:type="dxa" w:w="90"/>
              <w:bottom w:type="dxa" w:w="50"/>
              <w:right w:type="dxa" w:w="90"/>
            </w:tcMar>
            <w:vAlign w:val="center"/>
          </w:tcPr>
          <w:p>
            <w:pPr>
              <w:jc w:val="center"/>
            </w:pPr>
            <w:r>
              <w:rPr>
                <w:sz w:val="17"/>
                <w:szCs w:val="17"/>
              </w:rPr>
              <w:t xml:space="preserve">20 μg/mL
(施設により20〜100)</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200"/>
            <w:shd w:fill="FFFFFF" w:val="clear"/>
            <w:tcMar>
              <w:top w:type="dxa" w:w="50"/>
              <w:left w:type="dxa" w:w="90"/>
              <w:bottom w:type="dxa" w:w="50"/>
              <w:right w:type="dxa" w:w="90"/>
            </w:tcMar>
            <w:vAlign w:val="center"/>
          </w:tcPr>
          <w:p>
            <w:pPr>
              <w:jc w:val="center"/>
            </w:pPr>
            <w:r>
              <w:rPr>
                <w:sz w:val="17"/>
                <w:szCs w:val="17"/>
              </w:rPr>
              <w:t xml:space="preserve">髄液検査</w:t>
            </w:r>
          </w:p>
        </w:tc>
        <w:tc>
          <w:tcPr>
            <w:tcW w:type="dxa" w:w="2000"/>
            <w:shd w:fill="FFFFFF" w:val="clear"/>
            <w:tcMar>
              <w:top w:type="dxa" w:w="50"/>
              <w:left w:type="dxa" w:w="90"/>
              <w:bottom w:type="dxa" w:w="50"/>
              <w:right w:type="dxa" w:w="90"/>
            </w:tcMar>
            <w:vAlign w:val="center"/>
          </w:tcPr>
          <w:p>
            <w:pPr>
              <w:jc w:val="center"/>
            </w:pPr>
            <w:r>
              <w:rPr>
                <w:sz w:val="17"/>
                <w:szCs w:val="17"/>
              </w:rPr>
              <w:t xml:space="preserve">糖</w:t>
            </w:r>
          </w:p>
        </w:tc>
        <w:tc>
          <w:tcPr>
            <w:tcW w:type="dxa" w:w="1750"/>
            <w:shd w:fill="FFFFFF" w:val="clear"/>
            <w:tcMar>
              <w:top w:type="dxa" w:w="50"/>
              <w:left w:type="dxa" w:w="90"/>
              <w:bottom w:type="dxa" w:w="50"/>
              <w:right w:type="dxa" w:w="90"/>
            </w:tcMar>
            <w:vAlign w:val="center"/>
          </w:tcPr>
          <w:p>
            <w:pPr>
              <w:jc w:val="center"/>
            </w:pPr>
            <w:r>
              <w:rPr>
                <w:sz w:val="17"/>
                <w:szCs w:val="17"/>
              </w:rPr>
              <w:t xml:space="preserve">20 mg/dL</w:t>
            </w:r>
          </w:p>
        </w:tc>
        <w:tc>
          <w:tcPr>
            <w:tcW w:type="dxa" w:w="2900"/>
            <w:shd w:fill="FFFFFF" w:val="clear"/>
            <w:tcMar>
              <w:top w:type="dxa" w:w="50"/>
              <w:left w:type="dxa" w:w="90"/>
              <w:bottom w:type="dxa" w:w="50"/>
              <w:right w:type="dxa" w:w="90"/>
            </w:tcMar>
            <w:vAlign w:val="center"/>
          </w:tcPr>
          <w:p>
            <w:pPr>
              <w:jc w:val="center"/>
            </w:pPr>
            <w:r>
              <w:rPr>
                <w:sz w:val="17"/>
                <w:szCs w:val="17"/>
              </w:rPr>
              <w:t xml:space="preserve">―</w:t>
            </w:r>
          </w:p>
        </w:tc>
        <w:tc>
          <w:tcPr>
            <w:tcW w:type="dxa" w:w="150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200"/>
            <w:shd w:fill="FBF6EC" w:val="clear"/>
            <w:tcMar>
              <w:top w:type="dxa" w:w="50"/>
              <w:left w:type="dxa" w:w="90"/>
              <w:bottom w:type="dxa" w:w="50"/>
              <w:right w:type="dxa" w:w="90"/>
            </w:tcMar>
            <w:vAlign w:val="center"/>
          </w:tcPr>
          <w:p>
            <w:pPr>
              <w:jc w:val="center"/>
            </w:pPr>
            <w:r>
              <w:rPr>
                <w:sz w:val="17"/>
                <w:szCs w:val="17"/>
              </w:rPr>
              <w:t xml:space="preserve">髄液検査</w:t>
            </w:r>
          </w:p>
        </w:tc>
        <w:tc>
          <w:tcPr>
            <w:tcW w:type="dxa" w:w="2000"/>
            <w:shd w:fill="FBF6EC" w:val="clear"/>
            <w:tcMar>
              <w:top w:type="dxa" w:w="50"/>
              <w:left w:type="dxa" w:w="90"/>
              <w:bottom w:type="dxa" w:w="50"/>
              <w:right w:type="dxa" w:w="90"/>
            </w:tcMar>
            <w:vAlign w:val="center"/>
          </w:tcPr>
          <w:p>
            <w:pPr>
              <w:jc w:val="center"/>
            </w:pPr>
            <w:r>
              <w:rPr>
                <w:sz w:val="17"/>
                <w:szCs w:val="17"/>
              </w:rPr>
              <w:t xml:space="preserve">細胞数</w:t>
            </w:r>
          </w:p>
        </w:tc>
        <w:tc>
          <w:tcPr>
            <w:tcW w:type="dxa" w:w="1750"/>
            <w:shd w:fill="FBF6EC" w:val="clear"/>
            <w:tcMar>
              <w:top w:type="dxa" w:w="50"/>
              <w:left w:type="dxa" w:w="90"/>
              <w:bottom w:type="dxa" w:w="50"/>
              <w:right w:type="dxa" w:w="90"/>
            </w:tcMar>
            <w:vAlign w:val="center"/>
          </w:tcPr>
          <w:p>
            <w:pPr>
              <w:jc w:val="center"/>
            </w:pPr>
            <w:r>
              <w:rPr>
                <w:sz w:val="17"/>
                <w:szCs w:val="17"/>
              </w:rPr>
              <w:t xml:space="preserve">―</w:t>
            </w:r>
          </w:p>
        </w:tc>
        <w:tc>
          <w:tcPr>
            <w:tcW w:type="dxa" w:w="2900"/>
            <w:shd w:fill="FBF6EC" w:val="clear"/>
            <w:tcMar>
              <w:top w:type="dxa" w:w="50"/>
              <w:left w:type="dxa" w:w="90"/>
              <w:bottom w:type="dxa" w:w="50"/>
              <w:right w:type="dxa" w:w="90"/>
            </w:tcMar>
            <w:vAlign w:val="center"/>
          </w:tcPr>
          <w:p>
            <w:pPr>
              <w:jc w:val="center"/>
            </w:pPr>
            <w:r>
              <w:rPr>
                <w:sz w:val="17"/>
                <w:szCs w:val="17"/>
              </w:rPr>
              <w:t xml:space="preserve">200/μL</w:t>
            </w:r>
          </w:p>
        </w:tc>
        <w:tc>
          <w:tcPr>
            <w:tcW w:type="dxa" w:w="1500"/>
            <w:shd w:fill="FBF6EC" w:val="clear"/>
            <w:tcMar>
              <w:top w:type="dxa" w:w="50"/>
              <w:left w:type="dxa" w:w="90"/>
              <w:bottom w:type="dxa" w:w="50"/>
              <w:right w:type="dxa" w:w="90"/>
            </w:tcMar>
            <w:vAlign w:val="center"/>
          </w:tcPr>
          <w:p>
            <w:pPr>
              <w:jc w:val="center"/>
            </w:pPr>
            <w:r>
              <w:rPr>
                <w:sz w:val="17"/>
                <w:szCs w:val="17"/>
              </w:rPr>
              <w:t xml:space="preserve"/>
            </w:r>
          </w:p>
        </w:tc>
      </w:tr>
    </w:tbl>
    <w:p>
      <w:pPr>
        <w:spacing w:after="160" w:before="40"/>
      </w:pPr>
      <w:r>
        <w:rPr>
          <w:i/>
          <w:iCs/>
          <w:color w:val="999999"/>
          <w:sz w:val="16"/>
          <w:szCs w:val="16"/>
        </w:rPr>
        <w:t xml:space="preserve">出典: 日本臨床検査医学会「臨床検査『パニック値』運用に関する提言書(2024年改定版)【別表】クリティカルバリュー(通称「パニック値」)の例」2024年6月10日(2021年版から数値変更なし)。原典の参考文献: Lundberg GD. Med Lab Obs 1972; 4: 47-54. / Harrison's Internal Medicine 第18版 e53</w:t>
      </w:r>
    </w:p>
    <w:p>
      <w:pPr>
        <w:spacing w:after="140" w:line="300"/>
      </w:pPr>
      <w:r>
        <w:rPr>
          <w:sz w:val="21"/>
          <w:szCs w:val="21"/>
        </w:rPr>
        <w:t xml:space="preserve">表中の「緊急報告項目の例」に○が付いた5項目(グルコース・K・Hb・血小板数・PT〈INR〉)は、"特に緊急対応(経過観察や処置を含む)を要するため、直ちに担当医への報告が必要となる検査項目の例"として原典が特記しているものである。この5項目に共通するのは、①値が命に関わる臓器・機能(脳のエネルギー源、心臓の電気活動、酸素運搬、止血)に直結すること、②異常が急速に進行しうること、の2点である。たとえばKが7.0 mmol/Lに達すると致死性不整脈のリスクが急激に高まり、Hbが5 g/dLまで下がれば全身の酸素供給が危険域に入る。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24C3F" w:sz="8"/>
              <w:left w:val="single" w:color="B24C3F" w:sz="16"/>
              <w:bottom w:val="single" w:color="B24C3F" w:sz="8"/>
              <w:right w:val="single" w:color="B24C3F" w:sz="8"/>
            </w:tcBorders>
            <w:shd w:fill="FBEAE8" w:val="clear"/>
            <w:tcMar>
              <w:top w:type="dxa" w:w="160"/>
              <w:left w:type="dxa" w:w="220"/>
              <w:bottom w:type="dxa" w:w="160"/>
              <w:right w:type="dxa" w:w="220"/>
            </w:tcMar>
          </w:tcPr>
          <w:p>
            <w:pPr>
              <w:spacing w:after="100"/>
            </w:pPr>
            <w:r>
              <w:rPr>
                <w:i/>
                <w:iCs/>
                <w:color w:val="B24C3F"/>
                <w:sz w:val="17"/>
                <w:szCs w:val="17"/>
              </w:rPr>
              <w:t xml:space="preserve">⚠ 注意</w:t>
            </w:r>
          </w:p>
          <w:p>
            <w:pPr>
              <w:spacing w:after="100"/>
            </w:pPr>
            <w:r>
              <w:rPr>
                <w:b/>
                <w:bCs/>
                <w:color w:val="3E2C1C"/>
                <w:sz w:val="22"/>
                <w:szCs w:val="22"/>
              </w:rPr>
              <w:t xml:space="preserve">施設差に関する注意</w:t>
            </w:r>
          </w:p>
          <w:p>
            <w:pPr>
              <w:spacing w:after="140" w:line="300"/>
            </w:pPr>
            <w:r>
              <w:rPr>
                <w:sz w:val="20"/>
                <w:szCs w:val="20"/>
              </w:rPr>
              <w:t xml:space="preserve">この表はあくまで「参考例」であり、全国一律の基準ではない。原典自身が「これら検査項目の選択や基準値の設定は、診療科医師と相談し医療機関ごとに運用されることが望ましい」と明記している。実習では、この表の数値を出発点としつつ、必ず自施設(実習先)のSOP・パニック値一覧を確認し、そちらを優先すること。</w:t>
            </w:r>
          </w:p>
        </w:tc>
      </w:tr>
    </w:tbl>
    <w:p>
      <w:pPr>
        <w:spacing w:after="160"/>
      </w:pPr>
    </w:p>
    <w:p>
      <w:pPr>
        <w:spacing w:after="140" w:line="300"/>
      </w:pPr>
      <w:r>
        <w:rPr>
          <w:b/>
          <w:bCs/>
          <w:color w:val="8A5A2B"/>
          <w:sz w:val="21"/>
          <w:szCs w:val="21"/>
        </w:rPr>
        <w:t xml:space="preserve">◆ 当院の例(2026年7月現在の運用)</w:t>
      </w:r>
    </w:p>
    <w:p>
      <w:pPr>
        <w:spacing w:after="140" w:line="300"/>
      </w:pPr>
      <w:r>
        <w:rPr>
          <w:sz w:val="21"/>
          <w:szCs w:val="21"/>
        </w:rPr>
        <w:t xml:space="preserve">参考として、当院で実際に運用しているパニック値(Critical Value)一覧(検体系)の一部を挙げる。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3950"/>
      </w:tblGrid>
      <w:tr>
        <w:trPr>
          <w:tblHeader/>
        </w:trPr>
        <w:tc>
          <w:tcPr>
            <w:tcW w:type="dxa" w:w="1600"/>
            <w:shd w:fill="E9DDC4" w:val="clear"/>
            <w:tcMar>
              <w:top w:type="dxa" w:w="60"/>
              <w:left w:type="dxa" w:w="100"/>
              <w:bottom w:type="dxa" w:w="60"/>
              <w:right w:type="dxa" w:w="100"/>
            </w:tcMar>
            <w:vAlign w:val="center"/>
          </w:tcPr>
          <w:p>
            <w:pPr>
              <w:jc w:val="center"/>
            </w:pPr>
            <w:r>
              <w:rPr>
                <w:b/>
                <w:bCs/>
                <w:sz w:val="18"/>
                <w:szCs w:val="18"/>
              </w:rPr>
              <w:t xml:space="preserve">項目</w:t>
            </w:r>
          </w:p>
        </w:tc>
        <w:tc>
          <w:tcPr>
            <w:tcW w:type="dxa" w:w="1900"/>
            <w:shd w:fill="E9DDC4" w:val="clear"/>
            <w:tcMar>
              <w:top w:type="dxa" w:w="60"/>
              <w:left w:type="dxa" w:w="100"/>
              <w:bottom w:type="dxa" w:w="60"/>
              <w:right w:type="dxa" w:w="100"/>
            </w:tcMar>
            <w:vAlign w:val="center"/>
          </w:tcPr>
          <w:p>
            <w:pPr>
              <w:jc w:val="center"/>
            </w:pPr>
            <w:r>
              <w:rPr>
                <w:b/>
                <w:bCs/>
                <w:sz w:val="18"/>
                <w:szCs w:val="18"/>
              </w:rPr>
              <w:t xml:space="preserve">低値</w:t>
            </w:r>
          </w:p>
        </w:tc>
        <w:tc>
          <w:tcPr>
            <w:tcW w:type="dxa" w:w="1900"/>
            <w:shd w:fill="E9DDC4" w:val="clear"/>
            <w:tcMar>
              <w:top w:type="dxa" w:w="60"/>
              <w:left w:type="dxa" w:w="100"/>
              <w:bottom w:type="dxa" w:w="60"/>
              <w:right w:type="dxa" w:w="100"/>
            </w:tcMar>
            <w:vAlign w:val="center"/>
          </w:tcPr>
          <w:p>
            <w:pPr>
              <w:jc w:val="center"/>
            </w:pPr>
            <w:r>
              <w:rPr>
                <w:b/>
                <w:bCs/>
                <w:sz w:val="18"/>
                <w:szCs w:val="18"/>
              </w:rPr>
              <w:t xml:space="preserve">高値</w:t>
            </w:r>
          </w:p>
        </w:tc>
        <w:tc>
          <w:tcPr>
            <w:tcW w:type="dxa" w:w="3950"/>
            <w:shd w:fill="E9DDC4" w:val="clear"/>
            <w:tcMar>
              <w:top w:type="dxa" w:w="60"/>
              <w:left w:type="dxa" w:w="100"/>
              <w:bottom w:type="dxa" w:w="60"/>
              <w:right w:type="dxa" w:w="100"/>
            </w:tcMar>
            <w:vAlign w:val="center"/>
          </w:tcPr>
          <w:p>
            <w:pPr>
              <w:jc w:val="center"/>
            </w:pPr>
            <w:r>
              <w:rPr>
                <w:b/>
                <w:bCs/>
                <w:sz w:val="18"/>
                <w:szCs w:val="18"/>
              </w:rPr>
              <w:t xml:space="preserve">報告条件の例</w:t>
            </w:r>
          </w:p>
        </w:tc>
      </w:tr>
      <w:tr>
        <w:tc>
          <w:tcPr>
            <w:tcW w:type="dxa" w:w="1600"/>
            <w:shd w:fill="FFFFFF" w:val="clear"/>
            <w:tcMar>
              <w:top w:type="dxa" w:w="50"/>
              <w:left w:type="dxa" w:w="90"/>
              <w:bottom w:type="dxa" w:w="50"/>
              <w:right w:type="dxa" w:w="90"/>
            </w:tcMar>
            <w:vAlign w:val="center"/>
          </w:tcPr>
          <w:p>
            <w:pPr>
              <w:jc w:val="center"/>
            </w:pPr>
            <w:r>
              <w:rPr>
                <w:sz w:val="17"/>
                <w:szCs w:val="17"/>
              </w:rPr>
              <w:t xml:space="preserve">Na</w:t>
            </w:r>
          </w:p>
        </w:tc>
        <w:tc>
          <w:tcPr>
            <w:tcW w:type="dxa" w:w="1900"/>
            <w:shd w:fill="FFFFFF" w:val="clear"/>
            <w:tcMar>
              <w:top w:type="dxa" w:w="50"/>
              <w:left w:type="dxa" w:w="90"/>
              <w:bottom w:type="dxa" w:w="50"/>
              <w:right w:type="dxa" w:w="90"/>
            </w:tcMar>
            <w:vAlign w:val="center"/>
          </w:tcPr>
          <w:p>
            <w:pPr>
              <w:jc w:val="center"/>
            </w:pPr>
            <w:r>
              <w:rPr>
                <w:sz w:val="17"/>
                <w:szCs w:val="17"/>
              </w:rPr>
              <w:t xml:space="preserve">115 mmol/L以下</w:t>
            </w:r>
          </w:p>
        </w:tc>
        <w:tc>
          <w:tcPr>
            <w:tcW w:type="dxa" w:w="1900"/>
            <w:shd w:fill="FFFFFF" w:val="clear"/>
            <w:tcMar>
              <w:top w:type="dxa" w:w="50"/>
              <w:left w:type="dxa" w:w="90"/>
              <w:bottom w:type="dxa" w:w="50"/>
              <w:right w:type="dxa" w:w="90"/>
            </w:tcMar>
            <w:vAlign w:val="center"/>
          </w:tcPr>
          <w:p>
            <w:pPr>
              <w:jc w:val="center"/>
            </w:pPr>
            <w:r>
              <w:rPr>
                <w:sz w:val="17"/>
                <w:szCs w:val="17"/>
              </w:rPr>
              <w:t xml:space="preserve">165 mmol/L以上</w:t>
            </w:r>
          </w:p>
        </w:tc>
        <w:tc>
          <w:tcPr>
            <w:tcW w:type="dxa" w:w="395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600"/>
            <w:shd w:fill="FBF6EC" w:val="clear"/>
            <w:tcMar>
              <w:top w:type="dxa" w:w="50"/>
              <w:left w:type="dxa" w:w="90"/>
              <w:bottom w:type="dxa" w:w="50"/>
              <w:right w:type="dxa" w:w="90"/>
            </w:tcMar>
            <w:vAlign w:val="center"/>
          </w:tcPr>
          <w:p>
            <w:pPr>
              <w:jc w:val="center"/>
            </w:pPr>
            <w:r>
              <w:rPr>
                <w:sz w:val="17"/>
                <w:szCs w:val="17"/>
              </w:rPr>
              <w:t xml:space="preserve">K</w:t>
            </w:r>
          </w:p>
        </w:tc>
        <w:tc>
          <w:tcPr>
            <w:tcW w:type="dxa" w:w="1900"/>
            <w:shd w:fill="FBF6EC" w:val="clear"/>
            <w:tcMar>
              <w:top w:type="dxa" w:w="50"/>
              <w:left w:type="dxa" w:w="90"/>
              <w:bottom w:type="dxa" w:w="50"/>
              <w:right w:type="dxa" w:w="90"/>
            </w:tcMar>
            <w:vAlign w:val="center"/>
          </w:tcPr>
          <w:p>
            <w:pPr>
              <w:jc w:val="center"/>
            </w:pPr>
            <w:r>
              <w:rPr>
                <w:sz w:val="17"/>
                <w:szCs w:val="17"/>
              </w:rPr>
              <w:t xml:space="preserve">1.5 mmol/L以下</w:t>
            </w:r>
          </w:p>
        </w:tc>
        <w:tc>
          <w:tcPr>
            <w:tcW w:type="dxa" w:w="1900"/>
            <w:shd w:fill="FBF6EC" w:val="clear"/>
            <w:tcMar>
              <w:top w:type="dxa" w:w="50"/>
              <w:left w:type="dxa" w:w="90"/>
              <w:bottom w:type="dxa" w:w="50"/>
              <w:right w:type="dxa" w:w="90"/>
            </w:tcMar>
            <w:vAlign w:val="center"/>
          </w:tcPr>
          <w:p>
            <w:pPr>
              <w:jc w:val="center"/>
            </w:pPr>
            <w:r>
              <w:rPr>
                <w:sz w:val="17"/>
                <w:szCs w:val="17"/>
              </w:rPr>
              <w:t xml:space="preserve">7.0 mmol/L以上</w:t>
            </w:r>
          </w:p>
        </w:tc>
        <w:tc>
          <w:tcPr>
            <w:tcW w:type="dxa" w:w="3950"/>
            <w:shd w:fill="FBF6EC" w:val="clear"/>
            <w:tcMar>
              <w:top w:type="dxa" w:w="50"/>
              <w:left w:type="dxa" w:w="90"/>
              <w:bottom w:type="dxa" w:w="50"/>
              <w:right w:type="dxa" w:w="90"/>
            </w:tcMar>
            <w:vAlign w:val="center"/>
          </w:tcPr>
          <w:p>
            <w:pPr>
              <w:jc w:val="center"/>
            </w:pPr>
            <w:r>
              <w:rPr>
                <w:sz w:val="17"/>
                <w:szCs w:val="17"/>
              </w:rPr>
              <w:t xml:space="preserve"/>
            </w:r>
          </w:p>
        </w:tc>
      </w:tr>
      <w:tr>
        <w:tc>
          <w:tcPr>
            <w:tcW w:type="dxa" w:w="1600"/>
            <w:shd w:fill="FFFFFF" w:val="clear"/>
            <w:tcMar>
              <w:top w:type="dxa" w:w="50"/>
              <w:left w:type="dxa" w:w="90"/>
              <w:bottom w:type="dxa" w:w="50"/>
              <w:right w:type="dxa" w:w="90"/>
            </w:tcMar>
            <w:vAlign w:val="center"/>
          </w:tcPr>
          <w:p>
            <w:pPr>
              <w:jc w:val="center"/>
            </w:pPr>
            <w:r>
              <w:rPr>
                <w:sz w:val="17"/>
                <w:szCs w:val="17"/>
              </w:rPr>
              <w:t xml:space="preserve">血糖</w:t>
            </w:r>
          </w:p>
        </w:tc>
        <w:tc>
          <w:tcPr>
            <w:tcW w:type="dxa" w:w="1900"/>
            <w:shd w:fill="FFFFFF" w:val="clear"/>
            <w:tcMar>
              <w:top w:type="dxa" w:w="50"/>
              <w:left w:type="dxa" w:w="90"/>
              <w:bottom w:type="dxa" w:w="50"/>
              <w:right w:type="dxa" w:w="90"/>
            </w:tcMar>
            <w:vAlign w:val="center"/>
          </w:tcPr>
          <w:p>
            <w:pPr>
              <w:jc w:val="center"/>
            </w:pPr>
            <w:r>
              <w:rPr>
                <w:sz w:val="17"/>
                <w:szCs w:val="17"/>
              </w:rPr>
              <w:t xml:space="preserve">50 mg/dL以下</w:t>
            </w:r>
          </w:p>
        </w:tc>
        <w:tc>
          <w:tcPr>
            <w:tcW w:type="dxa" w:w="1900"/>
            <w:shd w:fill="FFFFFF" w:val="clear"/>
            <w:tcMar>
              <w:top w:type="dxa" w:w="50"/>
              <w:left w:type="dxa" w:w="90"/>
              <w:bottom w:type="dxa" w:w="50"/>
              <w:right w:type="dxa" w:w="90"/>
            </w:tcMar>
            <w:vAlign w:val="center"/>
          </w:tcPr>
          <w:p>
            <w:pPr>
              <w:jc w:val="center"/>
            </w:pPr>
            <w:r>
              <w:rPr>
                <w:sz w:val="17"/>
                <w:szCs w:val="17"/>
              </w:rPr>
              <w:t xml:space="preserve">500 mg/dL以上</w:t>
            </w:r>
          </w:p>
        </w:tc>
        <w:tc>
          <w:tcPr>
            <w:tcW w:type="dxa" w:w="3950"/>
            <w:shd w:fill="FFFFFF" w:val="clear"/>
            <w:tcMar>
              <w:top w:type="dxa" w:w="50"/>
              <w:left w:type="dxa" w:w="90"/>
              <w:bottom w:type="dxa" w:w="50"/>
              <w:right w:type="dxa" w:w="90"/>
            </w:tcMar>
            <w:vAlign w:val="center"/>
          </w:tcPr>
          <w:p>
            <w:pPr>
              <w:jc w:val="center"/>
            </w:pPr>
            <w:r>
              <w:rPr>
                <w:sz w:val="17"/>
                <w:szCs w:val="17"/>
              </w:rPr>
              <w:t xml:space="preserve">POCT機器で測定した結果は対象外</w:t>
            </w:r>
          </w:p>
        </w:tc>
      </w:tr>
      <w:tr>
        <w:tc>
          <w:tcPr>
            <w:tcW w:type="dxa" w:w="1600"/>
            <w:shd w:fill="FBF6EC" w:val="clear"/>
            <w:tcMar>
              <w:top w:type="dxa" w:w="50"/>
              <w:left w:type="dxa" w:w="90"/>
              <w:bottom w:type="dxa" w:w="50"/>
              <w:right w:type="dxa" w:w="90"/>
            </w:tcMar>
            <w:vAlign w:val="center"/>
          </w:tcPr>
          <w:p>
            <w:pPr>
              <w:jc w:val="center"/>
            </w:pPr>
            <w:r>
              <w:rPr>
                <w:sz w:val="17"/>
                <w:szCs w:val="17"/>
              </w:rPr>
              <w:t xml:space="preserve">高感度トロポニン</w:t>
            </w:r>
          </w:p>
        </w:tc>
        <w:tc>
          <w:tcPr>
            <w:tcW w:type="dxa" w:w="1900"/>
            <w:shd w:fill="FBF6EC" w:val="clear"/>
            <w:tcMar>
              <w:top w:type="dxa" w:w="50"/>
              <w:left w:type="dxa" w:w="90"/>
              <w:bottom w:type="dxa" w:w="50"/>
              <w:right w:type="dxa" w:w="90"/>
            </w:tcMar>
            <w:vAlign w:val="center"/>
          </w:tcPr>
          <w:p>
            <w:pPr>
              <w:jc w:val="center"/>
            </w:pPr>
            <w:r>
              <w:rPr>
                <w:sz w:val="17"/>
                <w:szCs w:val="17"/>
              </w:rPr>
              <w:t xml:space="preserve">―</w:t>
            </w:r>
          </w:p>
        </w:tc>
        <w:tc>
          <w:tcPr>
            <w:tcW w:type="dxa" w:w="1900"/>
            <w:shd w:fill="FBF6EC" w:val="clear"/>
            <w:tcMar>
              <w:top w:type="dxa" w:w="50"/>
              <w:left w:type="dxa" w:w="90"/>
              <w:bottom w:type="dxa" w:w="50"/>
              <w:right w:type="dxa" w:w="90"/>
            </w:tcMar>
            <w:vAlign w:val="center"/>
          </w:tcPr>
          <w:p>
            <w:pPr>
              <w:jc w:val="center"/>
            </w:pPr>
            <w:r>
              <w:rPr>
                <w:sz w:val="17"/>
                <w:szCs w:val="17"/>
              </w:rPr>
              <w:t xml:space="preserve">45 pg/mL以上</w:t>
            </w:r>
          </w:p>
        </w:tc>
        <w:tc>
          <w:tcPr>
            <w:tcW w:type="dxa" w:w="3950"/>
            <w:shd w:fill="FBF6EC" w:val="clear"/>
            <w:tcMar>
              <w:top w:type="dxa" w:w="50"/>
              <w:left w:type="dxa" w:w="90"/>
              <w:bottom w:type="dxa" w:w="50"/>
              <w:right w:type="dxa" w:w="90"/>
            </w:tcMar>
            <w:vAlign w:val="center"/>
          </w:tcPr>
          <w:p>
            <w:pPr>
              <w:jc w:val="center"/>
            </w:pPr>
            <w:r>
              <w:rPr>
                <w:sz w:val="17"/>
                <w:szCs w:val="17"/>
              </w:rPr>
              <w:t xml:space="preserve">循環器内科はPCI後入院期間中を対象外
救命救急科は受診初回値のみ対象</w:t>
            </w:r>
          </w:p>
        </w:tc>
      </w:tr>
      <w:tr>
        <w:tc>
          <w:tcPr>
            <w:tcW w:type="dxa" w:w="1600"/>
            <w:shd w:fill="FFFFFF" w:val="clear"/>
            <w:tcMar>
              <w:top w:type="dxa" w:w="50"/>
              <w:left w:type="dxa" w:w="90"/>
              <w:bottom w:type="dxa" w:w="50"/>
              <w:right w:type="dxa" w:w="90"/>
            </w:tcMar>
            <w:vAlign w:val="center"/>
          </w:tcPr>
          <w:p>
            <w:pPr>
              <w:jc w:val="center"/>
            </w:pPr>
            <w:r>
              <w:rPr>
                <w:sz w:val="17"/>
                <w:szCs w:val="17"/>
              </w:rPr>
              <w:t xml:space="preserve">ヘモグロビン(Hb)</w:t>
            </w:r>
          </w:p>
        </w:tc>
        <w:tc>
          <w:tcPr>
            <w:tcW w:type="dxa" w:w="1900"/>
            <w:shd w:fill="FFFFFF" w:val="clear"/>
            <w:tcMar>
              <w:top w:type="dxa" w:w="50"/>
              <w:left w:type="dxa" w:w="90"/>
              <w:bottom w:type="dxa" w:w="50"/>
              <w:right w:type="dxa" w:w="90"/>
            </w:tcMar>
            <w:vAlign w:val="center"/>
          </w:tcPr>
          <w:p>
            <w:pPr>
              <w:jc w:val="center"/>
            </w:pPr>
            <w:r>
              <w:rPr>
                <w:sz w:val="17"/>
                <w:szCs w:val="17"/>
              </w:rPr>
              <w:t xml:space="preserve">5.0 g/dL以下</w:t>
            </w:r>
          </w:p>
        </w:tc>
        <w:tc>
          <w:tcPr>
            <w:tcW w:type="dxa" w:w="1900"/>
            <w:shd w:fill="FFFFFF" w:val="clear"/>
            <w:tcMar>
              <w:top w:type="dxa" w:w="50"/>
              <w:left w:type="dxa" w:w="90"/>
              <w:bottom w:type="dxa" w:w="50"/>
              <w:right w:type="dxa" w:w="90"/>
            </w:tcMar>
            <w:vAlign w:val="center"/>
          </w:tcPr>
          <w:p>
            <w:pPr>
              <w:jc w:val="center"/>
            </w:pPr>
            <w:r>
              <w:rPr>
                <w:sz w:val="17"/>
                <w:szCs w:val="17"/>
              </w:rPr>
              <w:t xml:space="preserve">20.0 g/dL以上</w:t>
            </w:r>
          </w:p>
        </w:tc>
        <w:tc>
          <w:tcPr>
            <w:tcW w:type="dxa" w:w="3950"/>
            <w:shd w:fill="FFFFFF" w:val="clear"/>
            <w:tcMar>
              <w:top w:type="dxa" w:w="50"/>
              <w:left w:type="dxa" w:w="90"/>
              <w:bottom w:type="dxa" w:w="50"/>
              <w:right w:type="dxa" w:w="90"/>
            </w:tcMar>
            <w:vAlign w:val="center"/>
          </w:tcPr>
          <w:p>
            <w:pPr>
              <w:jc w:val="center"/>
            </w:pPr>
            <w:r>
              <w:rPr>
                <w:sz w:val="17"/>
                <w:szCs w:val="17"/>
              </w:rPr>
              <w:t xml:space="preserve"/>
            </w:r>
          </w:p>
        </w:tc>
      </w:tr>
      <w:tr>
        <w:tc>
          <w:tcPr>
            <w:tcW w:type="dxa" w:w="1600"/>
            <w:shd w:fill="FBF6EC" w:val="clear"/>
            <w:tcMar>
              <w:top w:type="dxa" w:w="50"/>
              <w:left w:type="dxa" w:w="90"/>
              <w:bottom w:type="dxa" w:w="50"/>
              <w:right w:type="dxa" w:w="90"/>
            </w:tcMar>
            <w:vAlign w:val="center"/>
          </w:tcPr>
          <w:p>
            <w:pPr>
              <w:jc w:val="center"/>
            </w:pPr>
            <w:r>
              <w:rPr>
                <w:sz w:val="17"/>
                <w:szCs w:val="17"/>
              </w:rPr>
              <w:t xml:space="preserve">血小板数</w:t>
            </w:r>
          </w:p>
        </w:tc>
        <w:tc>
          <w:tcPr>
            <w:tcW w:type="dxa" w:w="1900"/>
            <w:shd w:fill="FBF6EC" w:val="clear"/>
            <w:tcMar>
              <w:top w:type="dxa" w:w="50"/>
              <w:left w:type="dxa" w:w="90"/>
              <w:bottom w:type="dxa" w:w="50"/>
              <w:right w:type="dxa" w:w="90"/>
            </w:tcMar>
            <w:vAlign w:val="center"/>
          </w:tcPr>
          <w:p>
            <w:pPr>
              <w:jc w:val="center"/>
            </w:pPr>
            <w:r>
              <w:rPr>
                <w:sz w:val="17"/>
                <w:szCs w:val="17"/>
              </w:rPr>
              <w:t xml:space="preserve">3万/μL以下</w:t>
            </w:r>
          </w:p>
        </w:tc>
        <w:tc>
          <w:tcPr>
            <w:tcW w:type="dxa" w:w="1900"/>
            <w:shd w:fill="FBF6EC" w:val="clear"/>
            <w:tcMar>
              <w:top w:type="dxa" w:w="50"/>
              <w:left w:type="dxa" w:w="90"/>
              <w:bottom w:type="dxa" w:w="50"/>
              <w:right w:type="dxa" w:w="90"/>
            </w:tcMar>
            <w:vAlign w:val="center"/>
          </w:tcPr>
          <w:p>
            <w:pPr>
              <w:jc w:val="center"/>
            </w:pPr>
            <w:r>
              <w:rPr>
                <w:sz w:val="17"/>
                <w:szCs w:val="17"/>
              </w:rPr>
              <w:t xml:space="preserve">100万/μL以上</w:t>
            </w:r>
          </w:p>
        </w:tc>
        <w:tc>
          <w:tcPr>
            <w:tcW w:type="dxa" w:w="3950"/>
            <w:shd w:fill="FBF6EC" w:val="clear"/>
            <w:tcMar>
              <w:top w:type="dxa" w:w="50"/>
              <w:left w:type="dxa" w:w="90"/>
              <w:bottom w:type="dxa" w:w="50"/>
              <w:right w:type="dxa" w:w="90"/>
            </w:tcMar>
            <w:vAlign w:val="center"/>
          </w:tcPr>
          <w:p>
            <w:pPr>
              <w:jc w:val="center"/>
            </w:pPr>
            <w:r>
              <w:rPr>
                <w:sz w:val="17"/>
                <w:szCs w:val="17"/>
              </w:rPr>
              <w:t xml:space="preserve">血液内科は対象外</w:t>
            </w:r>
          </w:p>
        </w:tc>
      </w:tr>
      <w:tr>
        <w:tc>
          <w:tcPr>
            <w:tcW w:type="dxa" w:w="1600"/>
            <w:shd w:fill="FFFFFF" w:val="clear"/>
            <w:tcMar>
              <w:top w:type="dxa" w:w="50"/>
              <w:left w:type="dxa" w:w="90"/>
              <w:bottom w:type="dxa" w:w="50"/>
              <w:right w:type="dxa" w:w="90"/>
            </w:tcMar>
            <w:vAlign w:val="center"/>
          </w:tcPr>
          <w:p>
            <w:pPr>
              <w:jc w:val="center"/>
            </w:pPr>
            <w:r>
              <w:rPr>
                <w:sz w:val="17"/>
                <w:szCs w:val="17"/>
              </w:rPr>
              <w:t xml:space="preserve">pH(血液ガス)</w:t>
            </w:r>
          </w:p>
        </w:tc>
        <w:tc>
          <w:tcPr>
            <w:tcW w:type="dxa" w:w="1900"/>
            <w:shd w:fill="FFFFFF" w:val="clear"/>
            <w:tcMar>
              <w:top w:type="dxa" w:w="50"/>
              <w:left w:type="dxa" w:w="90"/>
              <w:bottom w:type="dxa" w:w="50"/>
              <w:right w:type="dxa" w:w="90"/>
            </w:tcMar>
            <w:vAlign w:val="center"/>
          </w:tcPr>
          <w:p>
            <w:pPr>
              <w:jc w:val="center"/>
            </w:pPr>
            <w:r>
              <w:rPr>
                <w:sz w:val="17"/>
                <w:szCs w:val="17"/>
              </w:rPr>
              <w:t xml:space="preserve">7.20以下</w:t>
            </w:r>
          </w:p>
        </w:tc>
        <w:tc>
          <w:tcPr>
            <w:tcW w:type="dxa" w:w="1900"/>
            <w:shd w:fill="FFFFFF" w:val="clear"/>
            <w:tcMar>
              <w:top w:type="dxa" w:w="50"/>
              <w:left w:type="dxa" w:w="90"/>
              <w:bottom w:type="dxa" w:w="50"/>
              <w:right w:type="dxa" w:w="90"/>
            </w:tcMar>
            <w:vAlign w:val="center"/>
          </w:tcPr>
          <w:p>
            <w:pPr>
              <w:jc w:val="center"/>
            </w:pPr>
            <w:r>
              <w:rPr>
                <w:sz w:val="17"/>
                <w:szCs w:val="17"/>
              </w:rPr>
              <w:t xml:space="preserve">7.60以上</w:t>
            </w:r>
          </w:p>
        </w:tc>
        <w:tc>
          <w:tcPr>
            <w:tcW w:type="dxa" w:w="3950"/>
            <w:shd w:fill="FFFFFF" w:val="clear"/>
            <w:tcMar>
              <w:top w:type="dxa" w:w="50"/>
              <w:left w:type="dxa" w:w="90"/>
              <w:bottom w:type="dxa" w:w="50"/>
              <w:right w:type="dxa" w:w="90"/>
            </w:tcMar>
            <w:vAlign w:val="center"/>
          </w:tcPr>
          <w:p>
            <w:pPr>
              <w:jc w:val="center"/>
            </w:pPr>
            <w:r>
              <w:rPr>
                <w:sz w:val="17"/>
                <w:szCs w:val="17"/>
              </w:rPr>
              <w:t xml:space="preserve">特定の採血・測定場所の結果のみ対象</w:t>
            </w:r>
          </w:p>
        </w:tc>
      </w:tr>
      <w:tr>
        <w:tc>
          <w:tcPr>
            <w:tcW w:type="dxa" w:w="1600"/>
            <w:shd w:fill="FBF6EC" w:val="clear"/>
            <w:tcMar>
              <w:top w:type="dxa" w:w="50"/>
              <w:left w:type="dxa" w:w="90"/>
              <w:bottom w:type="dxa" w:w="50"/>
              <w:right w:type="dxa" w:w="90"/>
            </w:tcMar>
            <w:vAlign w:val="center"/>
          </w:tcPr>
          <w:p>
            <w:pPr>
              <w:jc w:val="center"/>
            </w:pPr>
            <w:r>
              <w:rPr>
                <w:sz w:val="17"/>
                <w:szCs w:val="17"/>
              </w:rPr>
              <w:t xml:space="preserve">髄液細胞数</w:t>
            </w:r>
          </w:p>
        </w:tc>
        <w:tc>
          <w:tcPr>
            <w:tcW w:type="dxa" w:w="1900"/>
            <w:shd w:fill="FBF6EC" w:val="clear"/>
            <w:tcMar>
              <w:top w:type="dxa" w:w="50"/>
              <w:left w:type="dxa" w:w="90"/>
              <w:bottom w:type="dxa" w:w="50"/>
              <w:right w:type="dxa" w:w="90"/>
            </w:tcMar>
            <w:vAlign w:val="center"/>
          </w:tcPr>
          <w:p>
            <w:pPr>
              <w:jc w:val="center"/>
            </w:pPr>
            <w:r>
              <w:rPr>
                <w:sz w:val="17"/>
                <w:szCs w:val="17"/>
              </w:rPr>
              <w:t xml:space="preserve">―</w:t>
            </w:r>
          </w:p>
        </w:tc>
        <w:tc>
          <w:tcPr>
            <w:tcW w:type="dxa" w:w="1900"/>
            <w:shd w:fill="FBF6EC" w:val="clear"/>
            <w:tcMar>
              <w:top w:type="dxa" w:w="50"/>
              <w:left w:type="dxa" w:w="90"/>
              <w:bottom w:type="dxa" w:w="50"/>
              <w:right w:type="dxa" w:w="90"/>
            </w:tcMar>
            <w:vAlign w:val="center"/>
          </w:tcPr>
          <w:p>
            <w:pPr>
              <w:jc w:val="center"/>
            </w:pPr>
            <w:r>
              <w:rPr>
                <w:sz w:val="17"/>
                <w:szCs w:val="17"/>
              </w:rPr>
              <w:t xml:space="preserve">6/μL以上</w:t>
            </w:r>
          </w:p>
        </w:tc>
        <w:tc>
          <w:tcPr>
            <w:tcW w:type="dxa" w:w="3950"/>
            <w:shd w:fill="FBF6EC" w:val="clear"/>
            <w:tcMar>
              <w:top w:type="dxa" w:w="50"/>
              <w:left w:type="dxa" w:w="90"/>
              <w:bottom w:type="dxa" w:w="50"/>
              <w:right w:type="dxa" w:w="90"/>
            </w:tcMar>
            <w:vAlign w:val="center"/>
          </w:tcPr>
          <w:p>
            <w:pPr>
              <w:jc w:val="center"/>
            </w:pPr>
            <w:r>
              <w:rPr>
                <w:sz w:val="17"/>
                <w:szCs w:val="17"/>
              </w:rPr>
              <w:t xml:space="preserve"/>
            </w:r>
          </w:p>
        </w:tc>
      </w:tr>
    </w:tbl>
    <w:p>
      <w:pPr>
        <w:spacing w:after="140" w:line="300"/>
      </w:pPr>
      <w:r>
        <w:rPr>
          <w:sz w:val="21"/>
          <w:szCs w:val="21"/>
        </w:rPr>
        <w:t xml:space="preserve">この一覧をb節の表(JSLM別表)と見比べるだけでも、施設ごとの違いが具体的に見えてくる。</w:t>
      </w:r>
    </w:p>
    <w:p>
      <w:pPr>
        <w:spacing w:after="80" w:line="280"/>
        <w:ind w:left="340"/>
      </w:pPr>
      <w:r>
        <w:rPr>
          <w:sz w:val="21"/>
          <w:szCs w:val="21"/>
        </w:rPr>
        <w:t xml:space="preserve">・項目数がしぼられている(Ca・尿素窒素・総蛋白・AST・ALT・LDなど、JSLM別表にある項目の多くを単独の報告対象にしていない)。</w:t>
      </w:r>
    </w:p>
    <w:p>
      <w:pPr>
        <w:spacing w:after="80" w:line="280"/>
        <w:ind w:left="340"/>
      </w:pPr>
      <w:r>
        <w:rPr>
          <w:sz w:val="21"/>
          <w:szCs w:val="21"/>
        </w:rPr>
        <w:t xml:space="preserve">・高感度トロポニンのように、JSLM別表には無い項目を独自に追加している。</w:t>
      </w:r>
    </w:p>
    <w:p>
      <w:pPr>
        <w:spacing w:after="80" w:line="280"/>
        <w:ind w:left="340"/>
      </w:pPr>
      <w:r>
        <w:rPr>
          <w:sz w:val="21"/>
          <w:szCs w:val="21"/>
        </w:rPr>
        <w:t xml:space="preserve">・血糖・血小板数のように、「特定の測定方法・診療科では対象外」という除外条件が付いている項目がある(POCT機器での血糖測定は対象外、血液内科は対象外など。血液内科が対象外なのは、血液疾患の治療経過で血小板数が恒常的に低い患者が多く、通常の閾値では該当が多発してしまうためと考えられる)。</w:t>
      </w:r>
    </w:p>
    <w:p>
      <w:pPr>
        <w:spacing w:after="80" w:line="280"/>
        <w:ind w:left="340"/>
      </w:pPr>
      <w:r>
        <w:rPr>
          <w:sz w:val="21"/>
          <w:szCs w:val="21"/>
        </w:rPr>
        <w:t xml:space="preserve">・髄液細胞数は、JSLM別表の目安(200/μL以上)よりはるかに低い6/μL以上を閾値にしている(細菌性髄膜炎などをより早期に拾う狙いだと考えられる)。</w:t>
      </w:r>
    </w:p>
    <w:p>
      <w:pPr>
        <w:spacing w:after="140" w:line="300"/>
      </w:pPr>
      <w:r>
        <w:rPr>
          <w:sz w:val="21"/>
          <w:szCs w:val="21"/>
        </w:rPr>
        <w:t xml:space="preserve">いずれもc節で説明する「対象となる患者層」「診療科との取り決め」の具体例であり、施設によって運用がここまで踏み込んで違いうることの実例として押さえておくとよい。パニック値の一覧は運用開始後も定期的に見直されるものであり、実習では必ず実習先の最新の一覧を確認すること。</w:t>
      </w:r>
    </w:p>
    <w:p>
      <w:pPr>
        <w:spacing w:after="160"/>
      </w:pPr>
    </w:p>
    <w:p>
      <w:pPr>
        <w:pStyle w:val="Heading1"/>
        <w:pBdr>
          <w:bottom w:val="single" w:color="8A5A2B" w:sz="6" w:space="4"/>
        </w:pBdr>
        <w:spacing w:after="160" w:before="320"/>
      </w:pPr>
      <w:r>
        <w:rPr>
          <w:b/>
          <w:bCs/>
          <w:color w:val="8A5A2B"/>
          <w:sz w:val="32"/>
          <w:szCs w:val="32"/>
        </w:rPr>
        <w:t xml:space="preserve">c　施設ごとに設定値が異なる理由</w:t>
      </w:r>
    </w:p>
    <w:p>
      <w:pPr>
        <w:spacing w:after="140" w:line="300"/>
      </w:pPr>
      <w:r>
        <w:rPr>
          <w:sz w:val="21"/>
          <w:szCs w:val="21"/>
        </w:rPr>
        <w:t xml:space="preserve">パニック値の項目・閾値にゴールドスタンダードが存在しないのは、単に「決めていないから」ではなく、次のような施設固有の事情によって、同じ項目でも合理的な基準が変わりうるためである。</w:t>
      </w:r>
    </w:p>
    <w:p>
      <w:pPr>
        <w:spacing w:after="80" w:line="280"/>
        <w:ind w:left="340"/>
      </w:pPr>
      <w:r>
        <w:rPr>
          <w:sz w:val="21"/>
          <w:szCs w:val="21"/>
        </w:rPr>
        <w:t xml:space="preserve">・対象となる患者層の違い: 小児科・産科の有無、透析患者の割合などによって、「異常」とみなすべき値の位置づけが変わる。たとえば透析患者が多い施設では、KやCrの高値がある程度日常的に見られるため、閾値の運用も変わりうる。</w:t>
      </w:r>
    </w:p>
    <w:p>
      <w:pPr>
        <w:spacing w:after="80" w:line="280"/>
        <w:ind w:left="340"/>
      </w:pPr>
      <w:r>
        <w:rPr>
          <w:sz w:val="21"/>
          <w:szCs w:val="21"/>
        </w:rPr>
        <w:t xml:space="preserve">・検査室の当直・報告体制の違い: 24時間体制で技師が常駐しているか、オンコール対応かによって、実際に速報できる体制が異なる。</w:t>
      </w:r>
    </w:p>
    <w:p>
      <w:pPr>
        <w:spacing w:after="80" w:line="280"/>
        <w:ind w:left="340"/>
      </w:pPr>
      <w:r>
        <w:rPr>
          <w:sz w:val="21"/>
          <w:szCs w:val="21"/>
        </w:rPr>
        <w:t xml:space="preserve">・各診療科とのあらかじめの取り決めの違い: どの値をどの科にどう報告するかは、事前に診療科・医療安全管理部門と協議して決める運用が前提になっている。</w:t>
      </w:r>
    </w:p>
    <w:p>
      <w:pPr>
        <w:spacing w:after="140" w:line="300"/>
      </w:pPr>
      <w:r>
        <w:rPr>
          <w:sz w:val="21"/>
          <w:szCs w:val="21"/>
        </w:rPr>
        <w:t xml:space="preserve">日本臨床検査医学会が2017年に行った全国アンケート調査でも、パニック値として設定されている項目やその閾値レベルが医療機関で統一されていないことに加え、緊急連絡体制・カルテ記録・臨床的対応の確認方法までもが医療機関ごとに異なっていることが明らかになっている。この現状を踏まえ、同学会は「統一基準を作る」のではなく、「項目・閾値の決め方と、報告・記録の最低限の型」を提言する方向を選んでいる。</w:t>
      </w:r>
    </w:p>
    <w:p>
      <w:pPr>
        <w:spacing w:after="140" w:line="300"/>
      </w:pPr>
      <w:r>
        <w:rPr>
          <w:sz w:val="21"/>
          <w:szCs w:val="21"/>
        </w:rPr>
        <w:t xml:space="preserve">具体的に提言されている運用の型には、次のようなものがある。</w:t>
      </w:r>
    </w:p>
    <w:p>
      <w:pPr>
        <w:spacing w:after="80" w:line="280"/>
        <w:ind w:left="340"/>
      </w:pPr>
      <w:r>
        <w:rPr>
          <w:sz w:val="21"/>
          <w:szCs w:val="21"/>
        </w:rPr>
        <w:t xml:space="preserve">・パニック値は原則として初回値(再検査を行う前に得られた値)を報告する。ただし、再検査をせずに初回値を報告した場合は、検体の取り違えがないか、患者の状態に問題がないかを確認する。</w:t>
      </w:r>
    </w:p>
    <w:p>
      <w:pPr>
        <w:spacing w:after="80" w:line="280"/>
        <w:ind w:left="340"/>
      </w:pPr>
      <w:r>
        <w:rPr>
          <w:sz w:val="21"/>
          <w:szCs w:val="21"/>
        </w:rPr>
        <w:t xml:space="preserve">・パニック値の第一報は、オーダした医師に確実に届く体制を作る。連絡がつかない場合は、施設の状況に応じて対応可能な医師に確実に報告が届く体制を作る。</w:t>
      </w:r>
    </w:p>
    <w:p>
      <w:pPr>
        <w:spacing w:after="80" w:line="280"/>
        <w:ind w:left="340"/>
      </w:pPr>
      <w:r>
        <w:rPr>
          <w:sz w:val="21"/>
          <w:szCs w:val="21"/>
        </w:rPr>
        <w:t xml:space="preserve">・報告を受けた医師は、対応した時刻・内容・アウトカムまでカルテに記録することが望ましい。</w:t>
      </w:r>
    </w:p>
    <w:p>
      <w:pPr>
        <w:spacing w:after="80" w:line="280"/>
        <w:ind w:left="340"/>
      </w:pPr>
      <w:r>
        <w:rPr>
          <w:sz w:val="21"/>
          <w:szCs w:val="21"/>
        </w:rPr>
        <w:t xml:space="preserve">・この運用は血液検査に限らず、生理機能検査・微生物検査、さらには病院外(在宅医療施設・衛生検査所・健診関連施設など)の検査にも当てはめて検討する必要がある。</w:t>
      </w:r>
    </w:p>
    <w:p>
      <w:pPr>
        <w:spacing w:after="140" w:line="300"/>
      </w:pPr>
      <w:r>
        <w:rPr>
          <w:sz w:val="21"/>
          <w:szCs w:val="21"/>
        </w:rPr>
        <w:t xml:space="preserve">つまり、パニック値の運用は「どの値を危険とみなすか」を決めるだけでなく、「誰が・いつ・どう確認し、どう記録するか」までを含めた一連の仕組みである。実習中は、自施設のパニック値一覧だけでなく、報告・記録の手順書もあわせて確認しておくとよい。</w:t>
      </w:r>
    </w:p>
    <w:p>
      <w:pPr>
        <w:spacing w:after="140" w:line="300"/>
      </w:pPr>
      <w:r>
        <w:rPr>
          <w:b/>
          <w:bCs/>
          <w:color w:val="8A5A2B"/>
          <w:sz w:val="21"/>
          <w:szCs w:val="21"/>
        </w:rPr>
        <w:t xml:space="preserve">◆ 当院の報告体制の例</w:t>
      </w:r>
    </w:p>
    <w:p>
      <w:pPr>
        <w:spacing w:after="140" w:line="300"/>
      </w:pPr>
      <w:r>
        <w:rPr>
          <w:sz w:val="21"/>
          <w:szCs w:val="21"/>
        </w:rPr>
        <w:t xml:space="preserve">当院では、報告先を患者の区分(入院・外来・救急外来)ごとに優先順位づけしている。たとえば入院患者であれば、まず依頼医師に連絡し、つながらなければ担当チームの医師、さらに拘束医、担当看護師へと順に連絡先を切り替える。外来・救急外来にもそれぞれ別の優先順位がある。電話で報告する際は、相手に復唱してもらい、対応した相手の氏名まで確認したうえで記録に残す運用になっている。</w:t>
      </w:r>
    </w:p>
    <w:p>
      <w:pPr>
        <w:spacing w:after="140" w:line="300"/>
      </w:pPr>
      <w:r>
        <w:rPr>
          <w:sz w:val="21"/>
          <w:szCs w:val="21"/>
        </w:rPr>
        <w:t xml:space="preserve">また、パニック値らしき結果に遭遇した際は、まず前回値・時系列を確認し、直近で同様の値をすでに報告済みであれば重複報告はしない(ただし血糖は前回値にかかわらず毎回報告する)。そのうえで報告前に、「検体の性状の確認(溶血・混濁・フィブリン析出の有無など)」「測定エラーの確認(分析装置のエラーフラグの有無)」「関連する他項目との整合性の確認(たとえばK高値であればCre値との相関を見る、血糖であれば血液ガス分析装置の血糖値と見比べるなど)」の3点を行う手順になっている。これは、本節で述べたJSLMの提言(初回値の報告前に検体取り違え・患者状態を確認する)を、実際の業務でどう手順化しているかの一例である。</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① 国家試験ではこう出た</w:t>
            </w:r>
          </w:p>
          <w:p>
            <w:pPr>
              <w:spacing w:after="140" w:line="300"/>
            </w:pPr>
            <w:r>
              <w:rPr>
                <w:sz w:val="20"/>
                <w:szCs w:val="20"/>
              </w:rPr>
              <w:t xml:space="preserve">第59回国家試験(午後)では、「次の検査結果でパニック値はどれか」という設問で、血糖250 mg/dl・血清K 5.0 mmol/l・血清Na 147 mmol/l・血清ALT 200 U/l・動脈血酸素分圧(PaO2)45 torrの5つが選択肢として示された。正解はPaO2 45 torrである。上表のPaO2の低値の目安(40 Torr)に近い高度な低酸素血症であるのに対し、他の4つはいずれも軽度〜中等度の異常にとどまり、上表の閾値には遠く及ばない。「パニック値かどうか」は数値の大小そのものではなく、上表のような具体的な閾値と照らし合わせて判断する、という基本を問う設問だった。</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② パニック値の「検出」と精度管理は別物</w:t>
            </w:r>
          </w:p>
          <w:p>
            <w:pPr>
              <w:spacing w:after="140" w:line="300"/>
            </w:pPr>
            <w:r>
              <w:rPr>
                <w:sz w:val="20"/>
                <w:szCs w:val="20"/>
              </w:rPr>
              <w:t xml:space="preserve">第60回国家試験では、x̄-R管理図法(内部精度管理の手法の一つ)で管理する対象を問う設問の選択肢に、「パニック値の検出」が紛らわしい誤答として登場した。x̄-R管理図法は、コントロール血清を繰り返し測定して装置・試薬側のランダム誤差・系統誤差を監視する仕組みであり(詳しくは8番「内部精度管理」を参照)、個々の患者検体がパニック値かどうかを判定する仕組みとは目的も対象もまったく異なる。両者を混同しないこと。「精度管理は装置・測定システムを見る仕組み」「パニック値は個々の患者の検査結果を見る仕組み」と整理しておくと区別しやすい。</w:t>
            </w:r>
          </w:p>
        </w:tc>
      </w:tr>
    </w:tbl>
    <w:p>
      <w:pPr>
        <w:spacing w:after="160"/>
      </w:pP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 </w:t>
    </w:r>
    <w:r>
      <w:rPr>
        <w:color w:val="AAAAAA"/>
        <w:sz w:val="16"/>
        <w:szCs w:val="16"/>
      </w:rPr>
      <w:fldChar w:fldCharType="begin"/>
      <w:instrText xml:space="preserve">PAGE</w:instrText>
      <w:fldChar w:fldCharType="separate"/>
      <w:fldChar w:fldCharType="end"/>
    </w:r>
    <w:r>
      <w:rPr>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5"/>
        <w:szCs w:val="15"/>
      </w:rPr>
      <w:t xml:space="preserve">冒険の書　第22章-A　パニック値の設定(試作)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2026-08-27T07:31:14.614Z</dcterms:created>
  <dcterms:modified xsi:type="dcterms:W3CDTF">2026-08-27T07:31:14.615Z</dcterms:modified>
</cp:coreProperties>
</file>

<file path=docProps/custom.xml><?xml version="1.0" encoding="utf-8"?>
<Properties xmlns="http://schemas.openxmlformats.org/officeDocument/2006/custom-properties" xmlns:vt="http://schemas.openxmlformats.org/officeDocument/2006/docPropsVTypes"/>
</file>